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99AB" w14:textId="77777777" w:rsidR="00ED44E5" w:rsidRPr="00A410EA" w:rsidRDefault="00ED44E5" w:rsidP="00A410EA">
      <w:pPr>
        <w:spacing w:after="0" w:line="240" w:lineRule="auto"/>
        <w:jc w:val="center"/>
        <w:rPr>
          <w:b/>
          <w:sz w:val="28"/>
        </w:rPr>
      </w:pPr>
      <w:r>
        <w:rPr>
          <w:b/>
          <w:sz w:val="28"/>
        </w:rPr>
        <w:t xml:space="preserve">Licitación </w:t>
      </w:r>
      <w:r w:rsidR="00184692">
        <w:rPr>
          <w:b/>
          <w:sz w:val="28"/>
        </w:rPr>
        <w:t xml:space="preserve">             </w:t>
      </w:r>
      <w:r>
        <w:rPr>
          <w:b/>
          <w:sz w:val="28"/>
        </w:rPr>
        <w:t xml:space="preserve"> Nº</w:t>
      </w:r>
      <w:r w:rsidR="001434EC">
        <w:rPr>
          <w:b/>
          <w:sz w:val="28"/>
        </w:rPr>
        <w:t xml:space="preserve">            </w:t>
      </w:r>
      <w:r>
        <w:rPr>
          <w:b/>
          <w:sz w:val="28"/>
        </w:rPr>
        <w:t>/</w:t>
      </w:r>
      <w:r w:rsidR="001434EC">
        <w:rPr>
          <w:b/>
          <w:sz w:val="28"/>
        </w:rPr>
        <w:t xml:space="preserve">           </w:t>
      </w:r>
    </w:p>
    <w:p w14:paraId="7BDC1926" w14:textId="77777777" w:rsidR="00B6712D" w:rsidRDefault="00B6712D" w:rsidP="00B6712D">
      <w:pPr>
        <w:spacing w:after="0" w:line="240" w:lineRule="auto"/>
        <w:jc w:val="center"/>
        <w:rPr>
          <w:b/>
          <w:sz w:val="28"/>
        </w:rPr>
      </w:pPr>
    </w:p>
    <w:p w14:paraId="45BDB373" w14:textId="77777777" w:rsidR="00B6712D" w:rsidRDefault="00B6712D" w:rsidP="00B6712D">
      <w:pPr>
        <w:spacing w:after="0" w:line="240" w:lineRule="auto"/>
        <w:jc w:val="center"/>
        <w:rPr>
          <w:b/>
          <w:sz w:val="28"/>
        </w:rPr>
      </w:pPr>
      <w:r>
        <w:rPr>
          <w:b/>
          <w:sz w:val="28"/>
        </w:rPr>
        <w:t>Pliego de Condiciones Particulares</w:t>
      </w:r>
    </w:p>
    <w:p w14:paraId="199A2B4E" w14:textId="77777777" w:rsidR="007A58E6" w:rsidRDefault="007A58E6" w:rsidP="00B6712D">
      <w:pPr>
        <w:spacing w:after="0" w:line="240" w:lineRule="auto"/>
        <w:jc w:val="center"/>
        <w:rPr>
          <w:sz w:val="24"/>
        </w:rPr>
      </w:pPr>
    </w:p>
    <w:p w14:paraId="4A7C11B9" w14:textId="77777777" w:rsidR="00B6712D" w:rsidRDefault="00B6712D" w:rsidP="00B6712D">
      <w:pPr>
        <w:spacing w:after="0" w:line="240" w:lineRule="auto"/>
        <w:rPr>
          <w:b/>
        </w:rPr>
      </w:pPr>
      <w:r>
        <w:rPr>
          <w:b/>
        </w:rPr>
        <w:t>1. Bases de la Contratación</w:t>
      </w:r>
    </w:p>
    <w:p w14:paraId="14C0BD80" w14:textId="77777777" w:rsidR="00B6712D" w:rsidRDefault="00B6712D" w:rsidP="007869A0">
      <w:pPr>
        <w:spacing w:after="0" w:line="240" w:lineRule="auto"/>
        <w:jc w:val="both"/>
      </w:pPr>
      <w:r>
        <w:t>Este Pliego de Condiciones Particulares</w:t>
      </w:r>
      <w:r w:rsidR="006267D9">
        <w:t xml:space="preserve"> y </w:t>
      </w:r>
      <w:r w:rsidR="00685BD1">
        <w:t xml:space="preserve">Modelo de Contrato de </w:t>
      </w:r>
      <w:r w:rsidR="0094406A">
        <w:t>Suministro/</w:t>
      </w:r>
      <w:r w:rsidR="00685BD1">
        <w:t>Prestación de Servicio</w:t>
      </w:r>
      <w:r w:rsidR="00471818">
        <w:t>s</w:t>
      </w:r>
      <w:r w:rsidR="00685BD1">
        <w:t xml:space="preserve"> </w:t>
      </w:r>
      <w:r>
        <w:t xml:space="preserve">conforman las Bases para la Licitación, en el marco de lo dispuesto por </w:t>
      </w:r>
      <w:r w:rsidR="007869A0">
        <w:t>el Reglamento de Contrataciones aprobado por Decreto Acuerdo Nº 470/</w:t>
      </w:r>
      <w:r w:rsidR="00840BBE">
        <w:t>7</w:t>
      </w:r>
      <w:r w:rsidR="007869A0">
        <w:t>3 y sus modificatorios.</w:t>
      </w:r>
    </w:p>
    <w:p w14:paraId="4132A26E" w14:textId="77777777" w:rsidR="007869A0" w:rsidRPr="00B6712D" w:rsidRDefault="007869A0" w:rsidP="007869A0">
      <w:pPr>
        <w:spacing w:after="0" w:line="240" w:lineRule="auto"/>
        <w:jc w:val="both"/>
        <w:rPr>
          <w:sz w:val="8"/>
          <w:szCs w:val="8"/>
        </w:rPr>
      </w:pPr>
    </w:p>
    <w:p w14:paraId="4E8E2203" w14:textId="77777777" w:rsidR="00B6712D" w:rsidRDefault="00B6712D" w:rsidP="00B6712D">
      <w:pPr>
        <w:spacing w:after="0" w:line="240" w:lineRule="auto"/>
        <w:rPr>
          <w:b/>
        </w:rPr>
      </w:pPr>
      <w:r>
        <w:rPr>
          <w:b/>
        </w:rPr>
        <w:t>2. Expediente</w:t>
      </w:r>
    </w:p>
    <w:p w14:paraId="3DBBB4F1"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651951F2"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02EEAB02" w14:textId="77777777" w:rsidTr="005907E7">
        <w:trPr>
          <w:trHeight w:val="288"/>
        </w:trPr>
        <w:tc>
          <w:tcPr>
            <w:tcW w:w="1809" w:type="dxa"/>
            <w:shd w:val="clear" w:color="auto" w:fill="auto"/>
          </w:tcPr>
          <w:p w14:paraId="1769AD4C"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4C2A042A" w14:textId="77777777" w:rsidR="00435917" w:rsidRPr="00906E5F" w:rsidRDefault="00435917" w:rsidP="005907E7">
            <w:pPr>
              <w:spacing w:after="0" w:line="240" w:lineRule="auto"/>
            </w:pPr>
            <w:r>
              <w:t>Año</w:t>
            </w:r>
          </w:p>
        </w:tc>
      </w:tr>
      <w:tr w:rsidR="00435917" w:rsidRPr="005907E7" w14:paraId="3C4BB88E" w14:textId="77777777" w:rsidTr="005907E7">
        <w:trPr>
          <w:trHeight w:val="279"/>
        </w:trPr>
        <w:tc>
          <w:tcPr>
            <w:tcW w:w="1809" w:type="dxa"/>
            <w:shd w:val="clear" w:color="auto" w:fill="auto"/>
          </w:tcPr>
          <w:p w14:paraId="192326D9" w14:textId="24175A82" w:rsidR="00435917" w:rsidRPr="00121B75" w:rsidRDefault="00CC4A9D" w:rsidP="005907E7">
            <w:pPr>
              <w:spacing w:after="0" w:line="240" w:lineRule="auto"/>
              <w:rPr>
                <w:sz w:val="20"/>
                <w:szCs w:val="20"/>
              </w:rPr>
            </w:pPr>
            <w:permStart w:id="2062429943" w:edGrp="everyone"/>
            <w:r>
              <w:rPr>
                <w:sz w:val="20"/>
                <w:szCs w:val="20"/>
              </w:rPr>
              <w:t xml:space="preserve">  </w:t>
            </w:r>
            <w:permEnd w:id="2062429943"/>
          </w:p>
        </w:tc>
        <w:tc>
          <w:tcPr>
            <w:tcW w:w="1843" w:type="dxa"/>
            <w:shd w:val="clear" w:color="auto" w:fill="auto"/>
          </w:tcPr>
          <w:p w14:paraId="7496125F" w14:textId="30DE4005" w:rsidR="00435917" w:rsidRPr="00121B75" w:rsidRDefault="00CC4A9D" w:rsidP="005907E7">
            <w:pPr>
              <w:spacing w:after="0" w:line="240" w:lineRule="auto"/>
              <w:rPr>
                <w:sz w:val="20"/>
                <w:szCs w:val="20"/>
              </w:rPr>
            </w:pPr>
            <w:permStart w:id="664099146" w:edGrp="everyone"/>
            <w:r>
              <w:rPr>
                <w:sz w:val="20"/>
                <w:szCs w:val="20"/>
              </w:rPr>
              <w:t xml:space="preserve">  </w:t>
            </w:r>
            <w:permEnd w:id="664099146"/>
          </w:p>
        </w:tc>
      </w:tr>
    </w:tbl>
    <w:p w14:paraId="3FF3E4BF" w14:textId="77777777" w:rsidR="00435917" w:rsidRPr="00B6712D" w:rsidRDefault="00435917" w:rsidP="00435917">
      <w:pPr>
        <w:spacing w:after="0" w:line="240" w:lineRule="auto"/>
        <w:rPr>
          <w:sz w:val="8"/>
          <w:szCs w:val="8"/>
        </w:rPr>
      </w:pPr>
    </w:p>
    <w:bookmarkEnd w:id="0"/>
    <w:p w14:paraId="0A9B3FF8" w14:textId="77777777" w:rsidR="00B6712D" w:rsidRPr="00B6712D" w:rsidRDefault="00B6712D" w:rsidP="00B6712D">
      <w:pPr>
        <w:spacing w:after="0" w:line="240" w:lineRule="auto"/>
        <w:rPr>
          <w:sz w:val="8"/>
          <w:szCs w:val="8"/>
        </w:rPr>
      </w:pPr>
    </w:p>
    <w:p w14:paraId="00F1B2A3" w14:textId="77777777" w:rsidR="00B6712D" w:rsidRDefault="007869A0" w:rsidP="00B6712D">
      <w:pPr>
        <w:spacing w:after="0" w:line="240" w:lineRule="auto"/>
        <w:rPr>
          <w:b/>
        </w:rPr>
      </w:pPr>
      <w:r>
        <w:rPr>
          <w:b/>
        </w:rPr>
        <w:t>3</w:t>
      </w:r>
      <w:r w:rsidR="00B6712D">
        <w:rPr>
          <w:b/>
        </w:rPr>
        <w:t>. Objeto de la Contratación</w:t>
      </w:r>
    </w:p>
    <w:p w14:paraId="535ECAC4"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769599D7" w14:textId="77777777" w:rsidR="00B6712D" w:rsidRDefault="00B6712D" w:rsidP="00B6712D">
      <w:pPr>
        <w:spacing w:after="0" w:line="240" w:lineRule="auto"/>
        <w:rPr>
          <w:sz w:val="18"/>
        </w:rPr>
      </w:pPr>
    </w:p>
    <w:p w14:paraId="643BD433" w14:textId="77777777" w:rsidR="00121B75" w:rsidRPr="00121B75" w:rsidRDefault="001C13A5" w:rsidP="0010025F">
      <w:pPr>
        <w:spacing w:after="0" w:line="240" w:lineRule="auto"/>
        <w:jc w:val="both"/>
        <w:rPr>
          <w:sz w:val="20"/>
          <w:szCs w:val="20"/>
        </w:rPr>
      </w:pPr>
      <w:permStart w:id="1577724789" w:edGrp="everyone"/>
      <w:r w:rsidRPr="0010025F">
        <w:rPr>
          <w:color w:val="FF0000"/>
        </w:rPr>
        <w:t>Ejemplo de redacción:</w:t>
      </w:r>
      <w:r w:rsidR="00F62A5F">
        <w:rPr>
          <w:color w:val="FF0000"/>
        </w:rPr>
        <w:t xml:space="preserve"> </w:t>
      </w:r>
      <w:r w:rsidR="00F62A5F" w:rsidRPr="003C45F9">
        <w:rPr>
          <w:rFonts w:cs="Calibri"/>
          <w:lang w:val="es-ES_tradnl"/>
        </w:rPr>
        <w:t>Este llamado tiene por objeto la provisión de agua natural de mesa, no gasificada, en bidones de veinte (20) litros apta para consumo humano en el Establecimiento Asistencial Dr. Lucio Molas y sus dependencias, y agua destilada en bidones de cinco (5) litros en cada uno en los laboratorios de dicho</w:t>
      </w:r>
      <w:r w:rsidR="004426EE" w:rsidRPr="003C45F9">
        <w:rPr>
          <w:rFonts w:cs="Calibri"/>
          <w:lang w:val="es-ES_tradnl"/>
        </w:rPr>
        <w:t xml:space="preserve"> </w:t>
      </w:r>
      <w:r w:rsidR="00F62A5F" w:rsidRPr="003C45F9">
        <w:rPr>
          <w:rFonts w:cs="Calibri"/>
          <w:lang w:val="es-ES_tradnl"/>
        </w:rPr>
        <w:t>establecimiento.</w:t>
      </w:r>
    </w:p>
    <w:permEnd w:id="1577724789"/>
    <w:p w14:paraId="6648958C" w14:textId="77777777" w:rsidR="00B6712D" w:rsidRDefault="00B6712D" w:rsidP="00B6712D">
      <w:pPr>
        <w:spacing w:after="0" w:line="240" w:lineRule="auto"/>
        <w:rPr>
          <w:sz w:val="18"/>
        </w:rPr>
      </w:pPr>
    </w:p>
    <w:bookmarkEnd w:id="1"/>
    <w:p w14:paraId="099E00B7" w14:textId="77777777" w:rsidR="00AD186C" w:rsidRDefault="00AD186C" w:rsidP="00B6712D">
      <w:pPr>
        <w:spacing w:after="0" w:line="240" w:lineRule="auto"/>
        <w:rPr>
          <w:b/>
        </w:rPr>
      </w:pPr>
      <w:r>
        <w:rPr>
          <w:b/>
        </w:rPr>
        <w:t xml:space="preserve">4. </w:t>
      </w:r>
      <w:bookmarkStart w:id="2" w:name="_Hlk142032268"/>
      <w:r>
        <w:rPr>
          <w:b/>
        </w:rPr>
        <w:t xml:space="preserve">Duración </w:t>
      </w:r>
      <w:r w:rsidR="00873AC6">
        <w:rPr>
          <w:b/>
        </w:rPr>
        <w:t xml:space="preserve">y resolución </w:t>
      </w:r>
      <w:r>
        <w:rPr>
          <w:b/>
        </w:rPr>
        <w:t>de la relación contractual</w:t>
      </w:r>
      <w:bookmarkEnd w:id="2"/>
    </w:p>
    <w:p w14:paraId="0D8E32B1" w14:textId="77777777" w:rsidR="00AD186C" w:rsidRDefault="00AD186C" w:rsidP="00AD186C">
      <w:pPr>
        <w:spacing w:after="0" w:line="240" w:lineRule="auto"/>
        <w:jc w:val="both"/>
        <w:rPr>
          <w:bCs/>
        </w:rPr>
      </w:pPr>
      <w:r>
        <w:rPr>
          <w:bCs/>
        </w:rPr>
        <w:t xml:space="preserve">El contrato regirá por el término de  </w:t>
      </w:r>
      <w:permStart w:id="1893728485" w:edGrp="everyone"/>
      <w:r w:rsidRPr="00AD186C">
        <w:rPr>
          <w:bCs/>
          <w:color w:val="FF0000"/>
        </w:rPr>
        <w:t>Ejemplo de redacción:</w:t>
      </w:r>
      <w:r>
        <w:rPr>
          <w:bCs/>
        </w:rPr>
        <w:t xml:space="preserve"> tres (3) años, con opción a prórroga por un (1) año más </w:t>
      </w:r>
      <w:r w:rsidR="002722AA">
        <w:rPr>
          <w:bCs/>
        </w:rPr>
        <w:t>si ninguna de las partes manifiesta su intención de no hacer uso de la misma con una antelación de 60 días antes del vencimiento del plazo original</w:t>
      </w:r>
      <w:r w:rsidR="00E65326">
        <w:rPr>
          <w:bCs/>
        </w:rPr>
        <w:t>.</w:t>
      </w:r>
      <w:permEnd w:id="1893728485"/>
      <w:r>
        <w:rPr>
          <w:bCs/>
        </w:rPr>
        <w:t xml:space="preserve"> </w:t>
      </w:r>
      <w:r w:rsidR="00E65326">
        <w:rPr>
          <w:bCs/>
        </w:rPr>
        <w:t xml:space="preserve"> La vigencia de la relación será</w:t>
      </w:r>
      <w:r>
        <w:rPr>
          <w:bCs/>
        </w:rPr>
        <w:t xml:space="preserve"> a partir </w:t>
      </w:r>
      <w:permStart w:id="1668094592" w:edGrp="everyone"/>
      <w:r w:rsidR="002722AA" w:rsidRPr="00AD186C">
        <w:rPr>
          <w:bCs/>
          <w:color w:val="FF0000"/>
        </w:rPr>
        <w:t>Ejemplo de redacción:</w:t>
      </w:r>
      <w:r w:rsidR="002722AA">
        <w:rPr>
          <w:bCs/>
        </w:rPr>
        <w:t xml:space="preserve"> de la firma del </w:t>
      </w:r>
      <w:r w:rsidR="00E65326">
        <w:rPr>
          <w:bCs/>
        </w:rPr>
        <w:t>contrato o</w:t>
      </w:r>
      <w:r w:rsidR="002722AA">
        <w:rPr>
          <w:bCs/>
        </w:rPr>
        <w:t>, en su caso</w:t>
      </w:r>
      <w:r w:rsidR="00E65326">
        <w:rPr>
          <w:bCs/>
        </w:rPr>
        <w:t>,</w:t>
      </w:r>
      <w:r w:rsidR="002722AA">
        <w:rPr>
          <w:bCs/>
        </w:rPr>
        <w:t xml:space="preserve"> </w:t>
      </w:r>
      <w:r w:rsidR="00E65326">
        <w:rPr>
          <w:bCs/>
        </w:rPr>
        <w:t>d</w:t>
      </w:r>
      <w:r w:rsidR="002722AA">
        <w:rPr>
          <w:bCs/>
        </w:rPr>
        <w:t>el 1º de septiembre de 2023, fecha en la que culmina el contrato de prestación de servicios vigente</w:t>
      </w:r>
      <w:r w:rsidR="00E65326">
        <w:rPr>
          <w:bCs/>
        </w:rPr>
        <w:t xml:space="preserve">, lo que ocurra </w:t>
      </w:r>
      <w:proofErr w:type="gramStart"/>
      <w:r w:rsidR="00E65326">
        <w:rPr>
          <w:bCs/>
        </w:rPr>
        <w:t>último</w:t>
      </w:r>
      <w:r>
        <w:rPr>
          <w:bCs/>
        </w:rPr>
        <w:t xml:space="preserve"> .</w:t>
      </w:r>
      <w:permEnd w:id="1668094592"/>
      <w:proofErr w:type="gramEnd"/>
    </w:p>
    <w:p w14:paraId="233B6B59" w14:textId="77777777" w:rsidR="00AD186C" w:rsidRPr="00AD186C" w:rsidRDefault="00AD186C" w:rsidP="00AD186C">
      <w:pPr>
        <w:spacing w:after="0" w:line="240" w:lineRule="auto"/>
        <w:jc w:val="both"/>
        <w:rPr>
          <w:bCs/>
        </w:rPr>
      </w:pPr>
      <w:r>
        <w:rPr>
          <w:bCs/>
        </w:rPr>
        <w:t xml:space="preserve">Para el supuesto que una de las partes decidiera resolver el contrato previo al vencimiento del mismo, la renunciante deberá comunicarlo a la otra, de manera escrita y por medio notificatorio fehaciente con una anticipación no menor a </w:t>
      </w:r>
      <w:permStart w:id="2064387068" w:edGrp="everyone"/>
      <w:r w:rsidR="00E65326" w:rsidRPr="00AD186C">
        <w:rPr>
          <w:bCs/>
          <w:color w:val="FF0000"/>
        </w:rPr>
        <w:t>Ejemplo de redacción:</w:t>
      </w:r>
      <w:r w:rsidR="00E65326">
        <w:rPr>
          <w:bCs/>
        </w:rPr>
        <w:t xml:space="preserve"> 60 </w:t>
      </w:r>
      <w:proofErr w:type="gramStart"/>
      <w:r w:rsidR="00E65326">
        <w:rPr>
          <w:bCs/>
        </w:rPr>
        <w:t>días</w:t>
      </w:r>
      <w:r>
        <w:rPr>
          <w:bCs/>
        </w:rPr>
        <w:t xml:space="preserve"> </w:t>
      </w:r>
      <w:permEnd w:id="2064387068"/>
      <w:r>
        <w:rPr>
          <w:bCs/>
        </w:rPr>
        <w:t>.</w:t>
      </w:r>
      <w:proofErr w:type="gramEnd"/>
    </w:p>
    <w:p w14:paraId="3991EDE7" w14:textId="77777777" w:rsidR="00AD186C" w:rsidRDefault="00AD186C" w:rsidP="00B6712D">
      <w:pPr>
        <w:spacing w:after="0" w:line="240" w:lineRule="auto"/>
        <w:rPr>
          <w:b/>
        </w:rPr>
      </w:pPr>
    </w:p>
    <w:p w14:paraId="2E609614" w14:textId="77777777" w:rsidR="00B6712D" w:rsidRDefault="00E65326" w:rsidP="00B6712D">
      <w:pPr>
        <w:spacing w:after="0" w:line="240" w:lineRule="auto"/>
        <w:rPr>
          <w:b/>
        </w:rPr>
      </w:pPr>
      <w:r>
        <w:rPr>
          <w:b/>
        </w:rPr>
        <w:t>5</w:t>
      </w:r>
      <w:r w:rsidR="00B6712D">
        <w:rPr>
          <w:b/>
        </w:rPr>
        <w:t>. Monto de la Contratación</w:t>
      </w:r>
    </w:p>
    <w:p w14:paraId="4A6A4AF7" w14:textId="77777777" w:rsidR="00226F0C" w:rsidRPr="00FD35D9" w:rsidRDefault="00DC4BE9" w:rsidP="00B6712D">
      <w:pPr>
        <w:spacing w:after="0" w:line="240" w:lineRule="auto"/>
        <w:rPr>
          <w:color w:val="808080"/>
          <w:sz w:val="20"/>
          <w:szCs w:val="20"/>
        </w:rPr>
      </w:pPr>
      <w:bookmarkStart w:id="3" w:name="_Hlk107559124"/>
      <w:r w:rsidRPr="00FD35D9">
        <w:rPr>
          <w:color w:val="808080"/>
          <w:sz w:val="20"/>
          <w:szCs w:val="20"/>
        </w:rPr>
        <w:t>Estimación del costo de acuerdo a las cotizaciones de plaza (Artículo 1º, inc. d, Reglamento de Contrataciones).</w:t>
      </w:r>
      <w:r w:rsidR="00BB70AC">
        <w:rPr>
          <w:color w:val="808080"/>
          <w:sz w:val="20"/>
          <w:szCs w:val="20"/>
        </w:rPr>
        <w:t xml:space="preserve"> Por el total de ítems y por toda la vigencia de la contratación. </w:t>
      </w:r>
    </w:p>
    <w:p w14:paraId="6ACACD6E"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714BDED5" w14:textId="77777777" w:rsidTr="005907E7">
        <w:tc>
          <w:tcPr>
            <w:tcW w:w="2093" w:type="dxa"/>
            <w:shd w:val="clear" w:color="auto" w:fill="auto"/>
          </w:tcPr>
          <w:p w14:paraId="0137DDCA"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5744465A" w14:textId="77777777" w:rsidR="00435917" w:rsidRPr="005907E7" w:rsidRDefault="00435917" w:rsidP="005907E7">
            <w:pPr>
              <w:spacing w:after="0" w:line="240" w:lineRule="auto"/>
              <w:rPr>
                <w:bCs/>
              </w:rPr>
            </w:pPr>
            <w:r w:rsidRPr="005907E7">
              <w:rPr>
                <w:bCs/>
              </w:rPr>
              <w:t>En letras</w:t>
            </w:r>
          </w:p>
        </w:tc>
      </w:tr>
      <w:tr w:rsidR="00435917" w:rsidRPr="005907E7" w14:paraId="3492EEDE" w14:textId="77777777" w:rsidTr="005907E7">
        <w:tc>
          <w:tcPr>
            <w:tcW w:w="2093" w:type="dxa"/>
            <w:shd w:val="clear" w:color="auto" w:fill="auto"/>
          </w:tcPr>
          <w:p w14:paraId="06B08B84" w14:textId="22038390" w:rsidR="00435917" w:rsidRDefault="00CC4A9D" w:rsidP="005907E7">
            <w:pPr>
              <w:spacing w:after="0" w:line="240" w:lineRule="auto"/>
              <w:rPr>
                <w:bCs/>
                <w:sz w:val="20"/>
                <w:szCs w:val="20"/>
              </w:rPr>
            </w:pPr>
            <w:permStart w:id="387808217" w:edGrp="everyone"/>
            <w:r>
              <w:rPr>
                <w:bCs/>
                <w:sz w:val="20"/>
                <w:szCs w:val="20"/>
              </w:rPr>
              <w:t xml:space="preserve">  </w:t>
            </w:r>
          </w:p>
          <w:permEnd w:id="387808217"/>
          <w:p w14:paraId="3DE4FD6D" w14:textId="77777777" w:rsidR="00A410EA" w:rsidRPr="00121B75" w:rsidRDefault="00A410EA" w:rsidP="005907E7">
            <w:pPr>
              <w:spacing w:after="0" w:line="240" w:lineRule="auto"/>
              <w:rPr>
                <w:bCs/>
                <w:sz w:val="20"/>
                <w:szCs w:val="20"/>
              </w:rPr>
            </w:pPr>
          </w:p>
        </w:tc>
        <w:tc>
          <w:tcPr>
            <w:tcW w:w="7828" w:type="dxa"/>
            <w:shd w:val="clear" w:color="auto" w:fill="auto"/>
          </w:tcPr>
          <w:p w14:paraId="14DB1A76" w14:textId="65D3BE22" w:rsidR="00435917" w:rsidRPr="00121B75" w:rsidRDefault="00CC4A9D" w:rsidP="005907E7">
            <w:pPr>
              <w:spacing w:after="0" w:line="240" w:lineRule="auto"/>
              <w:rPr>
                <w:b/>
                <w:sz w:val="20"/>
                <w:szCs w:val="20"/>
              </w:rPr>
            </w:pPr>
            <w:permStart w:id="643630897" w:edGrp="everyone"/>
            <w:r>
              <w:rPr>
                <w:b/>
                <w:sz w:val="20"/>
                <w:szCs w:val="20"/>
              </w:rPr>
              <w:t xml:space="preserve">  </w:t>
            </w:r>
            <w:permEnd w:id="643630897"/>
          </w:p>
        </w:tc>
      </w:tr>
      <w:bookmarkEnd w:id="3"/>
    </w:tbl>
    <w:p w14:paraId="03E297DD" w14:textId="77777777" w:rsidR="00B6712D" w:rsidRDefault="00B6712D" w:rsidP="00B6712D">
      <w:pPr>
        <w:spacing w:after="0" w:line="240" w:lineRule="auto"/>
        <w:rPr>
          <w:b/>
        </w:rPr>
      </w:pPr>
    </w:p>
    <w:p w14:paraId="26E8AB44" w14:textId="77777777" w:rsidR="00A35711" w:rsidRDefault="00E65326" w:rsidP="00A35711">
      <w:pPr>
        <w:spacing w:after="0" w:line="240" w:lineRule="auto"/>
        <w:rPr>
          <w:b/>
        </w:rPr>
      </w:pPr>
      <w:r>
        <w:rPr>
          <w:b/>
        </w:rPr>
        <w:t>6</w:t>
      </w:r>
      <w:r w:rsidR="00B6712D">
        <w:rPr>
          <w:b/>
        </w:rPr>
        <w:t xml:space="preserve">. </w:t>
      </w:r>
      <w:r w:rsidR="00A35711">
        <w:rPr>
          <w:b/>
        </w:rPr>
        <w:t>Organismo Contratante</w:t>
      </w:r>
    </w:p>
    <w:p w14:paraId="46FF0919"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410CE32B" w14:textId="30AD1894" w:rsidR="00A35711" w:rsidRDefault="00CC4A9D" w:rsidP="00A35711">
      <w:pPr>
        <w:spacing w:after="0" w:line="240" w:lineRule="auto"/>
        <w:rPr>
          <w:bCs/>
        </w:rPr>
      </w:pPr>
      <w:permStart w:id="292453267" w:edGrp="everyone"/>
      <w:r>
        <w:rPr>
          <w:bCs/>
        </w:rPr>
        <w:t xml:space="preserve">  </w:t>
      </w:r>
    </w:p>
    <w:permEnd w:id="292453267"/>
    <w:p w14:paraId="2673AF5B" w14:textId="77777777" w:rsidR="00A35711" w:rsidRDefault="00A35711" w:rsidP="00A35711">
      <w:pPr>
        <w:spacing w:after="0" w:line="240" w:lineRule="auto"/>
        <w:rPr>
          <w:bCs/>
          <w:sz w:val="20"/>
          <w:szCs w:val="20"/>
        </w:rPr>
      </w:pPr>
    </w:p>
    <w:p w14:paraId="3F1AFB84" w14:textId="77777777" w:rsidR="00A35711" w:rsidRDefault="00A35711" w:rsidP="00A35711">
      <w:pPr>
        <w:spacing w:after="0" w:line="240" w:lineRule="auto"/>
        <w:rPr>
          <w:bCs/>
          <w:sz w:val="20"/>
          <w:szCs w:val="20"/>
        </w:rPr>
      </w:pPr>
    </w:p>
    <w:p w14:paraId="092FDF68" w14:textId="77777777" w:rsidR="00A35711" w:rsidRDefault="00E65326" w:rsidP="00A35711">
      <w:pPr>
        <w:widowControl w:val="0"/>
        <w:autoSpaceDE w:val="0"/>
        <w:autoSpaceDN w:val="0"/>
        <w:adjustRightInd w:val="0"/>
        <w:spacing w:after="0" w:line="240" w:lineRule="auto"/>
      </w:pPr>
      <w:r>
        <w:rPr>
          <w:rFonts w:cs="Helvetica"/>
          <w:b/>
          <w:bCs/>
        </w:rPr>
        <w:t>7</w:t>
      </w:r>
      <w:r w:rsidR="00B6712D">
        <w:rPr>
          <w:rFonts w:cs="Helvetica"/>
          <w:b/>
          <w:bCs/>
        </w:rPr>
        <w:t xml:space="preserve">. </w:t>
      </w:r>
      <w:r w:rsidR="00A35711">
        <w:rPr>
          <w:rFonts w:cs="Helvetica"/>
          <w:b/>
          <w:bCs/>
        </w:rPr>
        <w:t>Comunicaciones, consultas y aclaraciones previas a la apertura.</w:t>
      </w:r>
    </w:p>
    <w:p w14:paraId="0C9A5434" w14:textId="77777777" w:rsidR="00A35711" w:rsidRDefault="00A35711" w:rsidP="00A35711">
      <w:pPr>
        <w:widowControl w:val="0"/>
        <w:autoSpaceDE w:val="0"/>
        <w:autoSpaceDN w:val="0"/>
        <w:adjustRightInd w:val="0"/>
        <w:spacing w:after="0" w:line="240" w:lineRule="auto"/>
        <w:jc w:val="both"/>
        <w:rPr>
          <w:rFonts w:cs="Helvetica"/>
        </w:rPr>
      </w:pPr>
      <w:bookmarkStart w:id="4" w:name="page3"/>
      <w:bookmarkEnd w:id="4"/>
      <w:r>
        <w:rPr>
          <w:rFonts w:cs="Helvetica"/>
        </w:rPr>
        <w:t xml:space="preserve">Todas las consultas y aclaraciones que se realicen sobre el contenido del Pliego de Bases y Condiciones </w:t>
      </w:r>
      <w:r>
        <w:rPr>
          <w:rFonts w:cs="Helvetica"/>
        </w:rPr>
        <w:lastRenderedPageBreak/>
        <w:t>Particulares y de las Especificaciones Técnicas de la presente Licitación, deberán ser dirigidas ante:</w:t>
      </w:r>
    </w:p>
    <w:p w14:paraId="179D03F1" w14:textId="77777777" w:rsidR="00A35711" w:rsidRDefault="00A35711" w:rsidP="00A35711">
      <w:pPr>
        <w:widowControl w:val="0"/>
        <w:autoSpaceDE w:val="0"/>
        <w:autoSpaceDN w:val="0"/>
        <w:adjustRightInd w:val="0"/>
        <w:spacing w:after="0" w:line="240" w:lineRule="auto"/>
        <w:jc w:val="both"/>
        <w:rPr>
          <w:rFonts w:cs="Helvetica"/>
        </w:rPr>
      </w:pPr>
    </w:p>
    <w:p w14:paraId="7DACFF1A" w14:textId="77777777" w:rsidR="00A35711" w:rsidRDefault="00A35711" w:rsidP="00A35711">
      <w:pPr>
        <w:spacing w:after="0" w:line="240" w:lineRule="auto"/>
        <w:rPr>
          <w:bCs/>
        </w:rPr>
      </w:pPr>
      <w:r>
        <w:rPr>
          <w:bCs/>
        </w:rPr>
        <w:t>Oficina:</w:t>
      </w:r>
    </w:p>
    <w:p w14:paraId="70C37E61" w14:textId="56B475F8" w:rsidR="00A35711" w:rsidRDefault="00CC4A9D" w:rsidP="00A35711">
      <w:pPr>
        <w:spacing w:after="0" w:line="240" w:lineRule="auto"/>
        <w:rPr>
          <w:bCs/>
          <w:sz w:val="20"/>
          <w:szCs w:val="20"/>
        </w:rPr>
      </w:pPr>
      <w:permStart w:id="17785885" w:edGrp="everyone"/>
      <w:r>
        <w:rPr>
          <w:bCs/>
          <w:sz w:val="20"/>
          <w:szCs w:val="20"/>
        </w:rPr>
        <w:t xml:space="preserve">  </w:t>
      </w:r>
    </w:p>
    <w:permEnd w:id="17785885"/>
    <w:p w14:paraId="16D44BD9" w14:textId="77777777" w:rsidR="00A35711" w:rsidRDefault="00A35711" w:rsidP="00A35711">
      <w:pPr>
        <w:spacing w:after="0" w:line="240" w:lineRule="auto"/>
        <w:rPr>
          <w:bCs/>
          <w:sz w:val="20"/>
          <w:szCs w:val="20"/>
        </w:rPr>
      </w:pPr>
    </w:p>
    <w:p w14:paraId="696E7A01" w14:textId="77777777" w:rsidR="00A35711" w:rsidRDefault="00A35711" w:rsidP="00A35711">
      <w:pPr>
        <w:spacing w:after="0" w:line="240" w:lineRule="auto"/>
        <w:rPr>
          <w:bCs/>
        </w:rPr>
      </w:pPr>
      <w:r w:rsidRPr="0084797B">
        <w:rPr>
          <w:bCs/>
        </w:rPr>
        <w:t>Dirección:</w:t>
      </w:r>
    </w:p>
    <w:p w14:paraId="4E4B5EB7" w14:textId="7A26FDAB" w:rsidR="00A35711" w:rsidRDefault="00CC4A9D" w:rsidP="00A35711">
      <w:pPr>
        <w:spacing w:after="0" w:line="240" w:lineRule="auto"/>
        <w:rPr>
          <w:bCs/>
        </w:rPr>
      </w:pPr>
      <w:permStart w:id="631456989" w:edGrp="everyone"/>
      <w:r>
        <w:rPr>
          <w:bCs/>
        </w:rPr>
        <w:t xml:space="preserve">  </w:t>
      </w:r>
    </w:p>
    <w:permEnd w:id="631456989"/>
    <w:p w14:paraId="3C7D70F7" w14:textId="77777777" w:rsidR="00A35711" w:rsidRDefault="00A35711" w:rsidP="00A35711">
      <w:pPr>
        <w:spacing w:after="0" w:line="240" w:lineRule="auto"/>
        <w:rPr>
          <w:bCs/>
        </w:rPr>
      </w:pPr>
    </w:p>
    <w:p w14:paraId="33638F72" w14:textId="77777777" w:rsidR="00A35711" w:rsidRDefault="00A35711" w:rsidP="00A35711">
      <w:pPr>
        <w:spacing w:after="0" w:line="240" w:lineRule="auto"/>
        <w:rPr>
          <w:bCs/>
        </w:rPr>
      </w:pPr>
      <w:r>
        <w:rPr>
          <w:bCs/>
        </w:rPr>
        <w:t>Teléfono:</w:t>
      </w:r>
    </w:p>
    <w:p w14:paraId="0D82C87B" w14:textId="162A2293" w:rsidR="00A35711" w:rsidRDefault="00CC4A9D" w:rsidP="00A35711">
      <w:pPr>
        <w:spacing w:after="0" w:line="240" w:lineRule="auto"/>
        <w:rPr>
          <w:bCs/>
        </w:rPr>
      </w:pPr>
      <w:permStart w:id="2143512956" w:edGrp="everyone"/>
      <w:r>
        <w:rPr>
          <w:bCs/>
        </w:rPr>
        <w:t xml:space="preserve">  </w:t>
      </w:r>
    </w:p>
    <w:permEnd w:id="2143512956"/>
    <w:p w14:paraId="6D51D5C5" w14:textId="77777777" w:rsidR="00A35711" w:rsidRDefault="00A35711" w:rsidP="00A35711">
      <w:pPr>
        <w:spacing w:after="0" w:line="240" w:lineRule="auto"/>
        <w:rPr>
          <w:bCs/>
        </w:rPr>
      </w:pPr>
    </w:p>
    <w:p w14:paraId="7782E485" w14:textId="77777777" w:rsidR="00A35711" w:rsidRDefault="00A35711" w:rsidP="00A35711">
      <w:pPr>
        <w:spacing w:after="0" w:line="240" w:lineRule="auto"/>
        <w:rPr>
          <w:bCs/>
        </w:rPr>
      </w:pPr>
      <w:r>
        <w:rPr>
          <w:bCs/>
        </w:rPr>
        <w:t>E-mail:</w:t>
      </w:r>
    </w:p>
    <w:p w14:paraId="7385A931" w14:textId="41E9CA43" w:rsidR="00A35711" w:rsidRPr="0084797B" w:rsidRDefault="00CC4A9D" w:rsidP="00A35711">
      <w:pPr>
        <w:spacing w:after="0" w:line="240" w:lineRule="auto"/>
        <w:rPr>
          <w:bCs/>
        </w:rPr>
      </w:pPr>
      <w:permStart w:id="1792360704" w:edGrp="everyone"/>
      <w:r>
        <w:rPr>
          <w:bCs/>
        </w:rPr>
        <w:t xml:space="preserve">  </w:t>
      </w:r>
    </w:p>
    <w:permEnd w:id="1792360704"/>
    <w:p w14:paraId="69B8A5C6" w14:textId="39AE5170" w:rsidR="00B6712D" w:rsidRDefault="00CC4A9D" w:rsidP="00A35711">
      <w:pPr>
        <w:widowControl w:val="0"/>
        <w:autoSpaceDE w:val="0"/>
        <w:autoSpaceDN w:val="0"/>
        <w:adjustRightInd w:val="0"/>
        <w:spacing w:after="0" w:line="240" w:lineRule="auto"/>
      </w:pPr>
      <w:r>
        <w:t xml:space="preserve">  </w:t>
      </w:r>
    </w:p>
    <w:p w14:paraId="6BBC8933" w14:textId="77777777" w:rsidR="00B6712D" w:rsidRDefault="00E65326" w:rsidP="00B6712D">
      <w:pPr>
        <w:widowControl w:val="0"/>
        <w:overflowPunct w:val="0"/>
        <w:autoSpaceDE w:val="0"/>
        <w:autoSpaceDN w:val="0"/>
        <w:adjustRightInd w:val="0"/>
        <w:spacing w:after="0" w:line="242" w:lineRule="auto"/>
        <w:ind w:right="40"/>
      </w:pPr>
      <w:r>
        <w:rPr>
          <w:rFonts w:cs="Helvetica"/>
          <w:b/>
          <w:bCs/>
        </w:rPr>
        <w:t>8</w:t>
      </w:r>
      <w:r w:rsidR="00B6712D">
        <w:rPr>
          <w:rFonts w:cs="Helvetica"/>
          <w:b/>
          <w:bCs/>
        </w:rPr>
        <w:t>. Plazos para solicitar consultas y/o aclaraciones</w:t>
      </w:r>
    </w:p>
    <w:p w14:paraId="3AE8556D" w14:textId="77777777" w:rsidR="00B6712D" w:rsidRDefault="0015552F"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7E21FFA6" w14:textId="77777777" w:rsidR="00B6712D" w:rsidRDefault="00B6712D" w:rsidP="00B6712D">
      <w:pPr>
        <w:widowControl w:val="0"/>
        <w:autoSpaceDE w:val="0"/>
        <w:autoSpaceDN w:val="0"/>
        <w:adjustRightInd w:val="0"/>
        <w:spacing w:after="0" w:line="6" w:lineRule="exact"/>
        <w:rPr>
          <w:rFonts w:cs="Helvetica"/>
        </w:rPr>
      </w:pPr>
    </w:p>
    <w:p w14:paraId="79598753"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15552F">
        <w:rPr>
          <w:rFonts w:cs="Helvetica"/>
        </w:rPr>
        <w:t>,</w:t>
      </w:r>
      <w:r>
        <w:rPr>
          <w:rFonts w:cs="Helvetica"/>
        </w:rPr>
        <w:t xml:space="preserve"> con hasta una antelación de TRES (3) días previos a la apertura de ofertas, resolver las aclaraciones solicitadas.</w:t>
      </w:r>
    </w:p>
    <w:p w14:paraId="7AA97D73" w14:textId="77777777" w:rsidR="00B6712D" w:rsidRDefault="00B6712D" w:rsidP="00B6712D">
      <w:pPr>
        <w:spacing w:after="0" w:line="240" w:lineRule="auto"/>
        <w:rPr>
          <w:b/>
        </w:rPr>
      </w:pPr>
    </w:p>
    <w:p w14:paraId="533EA02F" w14:textId="77777777" w:rsidR="00B6712D" w:rsidRDefault="00E65326" w:rsidP="00B6712D">
      <w:pPr>
        <w:spacing w:after="0" w:line="240" w:lineRule="auto"/>
        <w:rPr>
          <w:b/>
          <w:sz w:val="18"/>
        </w:rPr>
      </w:pPr>
      <w:r>
        <w:rPr>
          <w:b/>
        </w:rPr>
        <w:t>9</w:t>
      </w:r>
      <w:r w:rsidR="00B6712D">
        <w:rPr>
          <w:b/>
        </w:rPr>
        <w:t xml:space="preserve">. </w:t>
      </w:r>
      <w:bookmarkStart w:id="5" w:name="_Hlk129852484"/>
      <w:r w:rsidR="00C906D0">
        <w:rPr>
          <w:b/>
        </w:rPr>
        <w:t>Forma de la cotización</w:t>
      </w:r>
    </w:p>
    <w:p w14:paraId="24940B36" w14:textId="77777777" w:rsidR="00B6712D" w:rsidRPr="00FD35D9" w:rsidRDefault="00DC4BE9" w:rsidP="00B6712D">
      <w:pPr>
        <w:spacing w:after="0" w:line="240" w:lineRule="auto"/>
        <w:jc w:val="both"/>
        <w:rPr>
          <w:color w:val="808080"/>
          <w:sz w:val="20"/>
          <w:szCs w:val="20"/>
        </w:rPr>
      </w:pPr>
      <w:bookmarkStart w:id="6"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5"/>
    </w:p>
    <w:p w14:paraId="5E7ECBD1" w14:textId="77777777" w:rsidR="00B6712D" w:rsidRDefault="00B6712D" w:rsidP="00B6712D">
      <w:pPr>
        <w:spacing w:after="0" w:line="240" w:lineRule="auto"/>
        <w:rPr>
          <w:sz w:val="18"/>
        </w:rPr>
      </w:pPr>
    </w:p>
    <w:p w14:paraId="415DE96B" w14:textId="77777777" w:rsidR="0094406A" w:rsidRDefault="0094406A" w:rsidP="0094406A">
      <w:pPr>
        <w:spacing w:after="0" w:line="240" w:lineRule="auto"/>
        <w:jc w:val="both"/>
        <w:rPr>
          <w:sz w:val="20"/>
          <w:szCs w:val="20"/>
        </w:rPr>
      </w:pPr>
      <w:bookmarkStart w:id="7" w:name="_Hlk131063979"/>
      <w:bookmarkEnd w:id="6"/>
      <w:permStart w:id="1251888568" w:edGrp="everyone"/>
      <w:r w:rsidRPr="002059D8">
        <w:rPr>
          <w:color w:val="FF0000"/>
          <w:sz w:val="20"/>
          <w:szCs w:val="20"/>
        </w:rPr>
        <w:t>Ejemplo de redacción para cotización en pesos:</w:t>
      </w:r>
      <w:r>
        <w:rPr>
          <w:sz w:val="20"/>
          <w:szCs w:val="20"/>
        </w:rPr>
        <w:t xml:space="preserve"> </w:t>
      </w:r>
      <w:r w:rsidRPr="00DC5D60">
        <w:rPr>
          <w:sz w:val="20"/>
          <w:szCs w:val="20"/>
        </w:rPr>
        <w:t>Las ofertas deberán ser presentadas en pesos.  Los precios deberán incluir la totalidad de los costos (transporte, descarga, pago de pólizas, impuestos y gravámenes vigentes, IVA, etc.).</w:t>
      </w:r>
    </w:p>
    <w:permEnd w:id="1251888568"/>
    <w:p w14:paraId="4AD07534" w14:textId="77777777" w:rsidR="0094406A" w:rsidRDefault="0094406A" w:rsidP="0094406A">
      <w:pPr>
        <w:spacing w:after="0" w:line="240" w:lineRule="auto"/>
        <w:jc w:val="both"/>
        <w:rPr>
          <w:sz w:val="20"/>
          <w:szCs w:val="20"/>
        </w:rPr>
      </w:pPr>
    </w:p>
    <w:p w14:paraId="3A2D22BC" w14:textId="77777777" w:rsidR="0094406A" w:rsidRDefault="0094406A" w:rsidP="0094406A">
      <w:pPr>
        <w:spacing w:after="0" w:line="240" w:lineRule="auto"/>
        <w:jc w:val="both"/>
        <w:rPr>
          <w:sz w:val="20"/>
          <w:szCs w:val="20"/>
        </w:rPr>
      </w:pPr>
      <w:permStart w:id="1585793324" w:edGrp="everyone"/>
      <w:r w:rsidRPr="002059D8">
        <w:rPr>
          <w:color w:val="FF0000"/>
          <w:sz w:val="20"/>
          <w:szCs w:val="20"/>
        </w:rPr>
        <w:t>Ejemplo de redacción para cotización en dólares:</w:t>
      </w:r>
      <w:r>
        <w:rPr>
          <w:sz w:val="20"/>
          <w:szCs w:val="20"/>
        </w:rPr>
        <w:t xml:space="preserve"> Las ofertas deberán ser presentadas en dólares estadounidenses. Para la comparación de ofertas, se convertirán los precios cotizados al tipo de cambio vendedor del Banco de la Nación Argentina, vigente al cierre de las operaciones del día anterior al de la apertura de las ofertas.</w:t>
      </w:r>
    </w:p>
    <w:p w14:paraId="709A4DC7" w14:textId="77777777" w:rsidR="0094406A" w:rsidRPr="001833CA" w:rsidRDefault="0094406A" w:rsidP="0094406A">
      <w:pPr>
        <w:spacing w:after="0" w:line="240" w:lineRule="auto"/>
        <w:jc w:val="both"/>
        <w:rPr>
          <w:sz w:val="20"/>
          <w:szCs w:val="20"/>
        </w:rPr>
      </w:pPr>
      <w:r>
        <w:rPr>
          <w:sz w:val="20"/>
          <w:szCs w:val="20"/>
        </w:rPr>
        <w:t>Los precios deberán incluir la totalidad de los costos (transporte, descarga, pago de pólizas, impuestos y gravámenes vigentes, IVA, etc.)</w:t>
      </w:r>
      <w:bookmarkEnd w:id="7"/>
    </w:p>
    <w:permEnd w:id="1585793324"/>
    <w:p w14:paraId="6AA6B012" w14:textId="77777777" w:rsidR="00B6712D" w:rsidRDefault="00B6712D" w:rsidP="00B6712D">
      <w:pPr>
        <w:spacing w:after="0" w:line="240" w:lineRule="auto"/>
        <w:rPr>
          <w:sz w:val="18"/>
        </w:rPr>
      </w:pPr>
    </w:p>
    <w:p w14:paraId="17BD8838" w14:textId="77777777" w:rsidR="00A35711" w:rsidRDefault="00E65326" w:rsidP="00A35711">
      <w:pPr>
        <w:spacing w:after="0" w:line="240" w:lineRule="auto"/>
        <w:rPr>
          <w:b/>
        </w:rPr>
      </w:pPr>
      <w:r>
        <w:rPr>
          <w:b/>
        </w:rPr>
        <w:t>10</w:t>
      </w:r>
      <w:r w:rsidR="00A35711">
        <w:rPr>
          <w:b/>
        </w:rPr>
        <w:t>. Valor del Pliego</w:t>
      </w:r>
      <w:r w:rsidR="0094406A">
        <w:rPr>
          <w:b/>
        </w:rPr>
        <w:t xml:space="preserve"> (Solo para Licitaciones Públicas)</w:t>
      </w:r>
    </w:p>
    <w:p w14:paraId="5D1F927A" w14:textId="77777777" w:rsidR="00A35711" w:rsidRPr="00A35711" w:rsidRDefault="00A35711" w:rsidP="00A35711">
      <w:pPr>
        <w:spacing w:after="0" w:line="240" w:lineRule="auto"/>
        <w:rPr>
          <w:color w:val="808080"/>
          <w:sz w:val="20"/>
          <w:szCs w:val="20"/>
        </w:rPr>
      </w:pPr>
      <w:bookmarkStart w:id="8" w:name="_Hlk107559168"/>
      <w:r w:rsidRPr="00A35711">
        <w:rPr>
          <w:color w:val="808080"/>
          <w:sz w:val="20"/>
          <w:szCs w:val="20"/>
        </w:rPr>
        <w:t>De acuerdo al artículo 103, inciso b. del Reglamento de Contrataciones</w:t>
      </w:r>
    </w:p>
    <w:p w14:paraId="1F432CC3"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592AA219" w14:textId="77777777" w:rsidTr="00FD35D9">
        <w:trPr>
          <w:trHeight w:val="315"/>
        </w:trPr>
        <w:tc>
          <w:tcPr>
            <w:tcW w:w="2079" w:type="dxa"/>
            <w:shd w:val="clear" w:color="auto" w:fill="auto"/>
          </w:tcPr>
          <w:p w14:paraId="6F18F187"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2AF6CD31" w14:textId="77777777" w:rsidR="00A35711" w:rsidRPr="005907E7" w:rsidRDefault="00A35711" w:rsidP="00FD35D9">
            <w:pPr>
              <w:spacing w:after="0" w:line="240" w:lineRule="auto"/>
              <w:rPr>
                <w:bCs/>
              </w:rPr>
            </w:pPr>
            <w:r w:rsidRPr="005907E7">
              <w:rPr>
                <w:bCs/>
              </w:rPr>
              <w:t>En letras</w:t>
            </w:r>
          </w:p>
        </w:tc>
      </w:tr>
      <w:tr w:rsidR="00A35711" w:rsidRPr="005907E7" w14:paraId="4682F9B0" w14:textId="77777777" w:rsidTr="00FD35D9">
        <w:trPr>
          <w:trHeight w:val="315"/>
        </w:trPr>
        <w:tc>
          <w:tcPr>
            <w:tcW w:w="2079" w:type="dxa"/>
            <w:shd w:val="clear" w:color="auto" w:fill="auto"/>
          </w:tcPr>
          <w:p w14:paraId="539975FE" w14:textId="77777777" w:rsidR="00A35711" w:rsidRPr="005907E7" w:rsidRDefault="00A35711" w:rsidP="00FD35D9">
            <w:pPr>
              <w:spacing w:after="0" w:line="240" w:lineRule="auto"/>
              <w:rPr>
                <w:b/>
              </w:rPr>
            </w:pPr>
          </w:p>
        </w:tc>
        <w:tc>
          <w:tcPr>
            <w:tcW w:w="7778" w:type="dxa"/>
            <w:shd w:val="clear" w:color="auto" w:fill="auto"/>
          </w:tcPr>
          <w:p w14:paraId="4150741B" w14:textId="77777777" w:rsidR="00A35711" w:rsidRPr="005907E7" w:rsidRDefault="00A35711" w:rsidP="00FD35D9">
            <w:pPr>
              <w:spacing w:after="0" w:line="240" w:lineRule="auto"/>
              <w:rPr>
                <w:b/>
              </w:rPr>
            </w:pPr>
          </w:p>
        </w:tc>
      </w:tr>
      <w:bookmarkEnd w:id="8"/>
    </w:tbl>
    <w:p w14:paraId="29B1B286" w14:textId="77777777" w:rsidR="00A35711" w:rsidRDefault="00A35711" w:rsidP="004A7B76">
      <w:pPr>
        <w:spacing w:after="0" w:line="240" w:lineRule="auto"/>
        <w:rPr>
          <w:b/>
        </w:rPr>
      </w:pPr>
    </w:p>
    <w:p w14:paraId="211A9380" w14:textId="77777777" w:rsidR="009F5B31" w:rsidRDefault="009F5B31" w:rsidP="009F5B31">
      <w:pPr>
        <w:spacing w:after="0" w:line="240" w:lineRule="auto"/>
        <w:rPr>
          <w:b/>
        </w:rPr>
      </w:pPr>
      <w:r>
        <w:rPr>
          <w:b/>
        </w:rPr>
        <w:t>1</w:t>
      </w:r>
      <w:r w:rsidR="00E65326">
        <w:rPr>
          <w:b/>
        </w:rPr>
        <w:t>1</w:t>
      </w:r>
      <w:r>
        <w:rPr>
          <w:b/>
        </w:rPr>
        <w:t>. Requisitos para la Presentación de Ofertas</w:t>
      </w:r>
    </w:p>
    <w:p w14:paraId="139960A8"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7E1DC79F" w14:textId="77777777" w:rsidR="009F5B31" w:rsidRDefault="009F5B31" w:rsidP="009F5B31">
      <w:pPr>
        <w:spacing w:after="0" w:line="240" w:lineRule="auto"/>
        <w:rPr>
          <w:sz w:val="18"/>
        </w:rPr>
      </w:pPr>
    </w:p>
    <w:p w14:paraId="5780209D" w14:textId="77777777" w:rsidR="0015552F" w:rsidRDefault="0015552F" w:rsidP="0015552F">
      <w:pPr>
        <w:spacing w:after="0" w:line="240" w:lineRule="auto"/>
      </w:pPr>
      <w:bookmarkStart w:id="9" w:name="_Hlk139271919"/>
      <w:r>
        <w:t>Quienes tengan interés en formular Oferta deberán:</w:t>
      </w:r>
    </w:p>
    <w:p w14:paraId="696FF8A1" w14:textId="77777777" w:rsidR="0015552F" w:rsidRDefault="0015552F" w:rsidP="0015552F">
      <w:pPr>
        <w:spacing w:after="0" w:line="240" w:lineRule="auto"/>
        <w:rPr>
          <w:sz w:val="18"/>
        </w:rPr>
      </w:pPr>
    </w:p>
    <w:p w14:paraId="07A23147" w14:textId="77777777" w:rsidR="0015552F" w:rsidRDefault="0015552F" w:rsidP="0015552F">
      <w:pPr>
        <w:numPr>
          <w:ilvl w:val="0"/>
          <w:numId w:val="4"/>
        </w:numPr>
        <w:spacing w:after="0" w:line="240" w:lineRule="auto"/>
        <w:ind w:right="680"/>
        <w:contextualSpacing/>
        <w:jc w:val="both"/>
      </w:pPr>
      <w:bookmarkStart w:id="10" w:name="_Hlk131151693"/>
      <w:r>
        <w:lastRenderedPageBreak/>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10"/>
      <w:r>
        <w:t xml:space="preserve"> la citada norma.</w:t>
      </w:r>
    </w:p>
    <w:p w14:paraId="74491CC6" w14:textId="77777777" w:rsidR="0015552F" w:rsidRDefault="0015552F" w:rsidP="0015552F">
      <w:pPr>
        <w:spacing w:after="0" w:line="240" w:lineRule="auto"/>
        <w:ind w:left="644" w:right="680"/>
        <w:contextualSpacing/>
        <w:jc w:val="both"/>
        <w:rPr>
          <w:sz w:val="18"/>
        </w:rPr>
      </w:pPr>
    </w:p>
    <w:p w14:paraId="33E1C9AC" w14:textId="77777777" w:rsidR="0015552F" w:rsidRDefault="0015552F" w:rsidP="0015552F">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78029B21" w14:textId="77777777" w:rsidR="0015552F" w:rsidRDefault="0015552F" w:rsidP="0015552F">
      <w:pPr>
        <w:pStyle w:val="Prrafodelista"/>
        <w:spacing w:after="0"/>
      </w:pPr>
    </w:p>
    <w:p w14:paraId="1706446A" w14:textId="77777777" w:rsidR="0015552F" w:rsidRPr="00A93AD4" w:rsidRDefault="0015552F" w:rsidP="0015552F">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667B610F" w14:textId="77777777" w:rsidR="0015552F" w:rsidRPr="00885FF7" w:rsidRDefault="0015552F" w:rsidP="0015552F">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apercibimiento de lo dispuesto por la Ley Nº 2201 y su Decreto Reglamentario Nº 219/06.  Las consultas pertinentes podrán realizarse a los teléfonos (02954)-456249 / 421298.</w:t>
      </w:r>
    </w:p>
    <w:p w14:paraId="26477263" w14:textId="77777777" w:rsidR="0015552F" w:rsidRPr="00885FF7" w:rsidRDefault="0015552F" w:rsidP="0015552F">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1DFC160F" w14:textId="77777777" w:rsidR="0015552F" w:rsidRDefault="0015552F" w:rsidP="0015552F">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6AE70BF9" w14:textId="77777777" w:rsidR="0015552F" w:rsidRDefault="0015552F" w:rsidP="0015552F">
      <w:pPr>
        <w:spacing w:after="0" w:line="240" w:lineRule="auto"/>
        <w:ind w:left="644" w:right="680"/>
        <w:contextualSpacing/>
        <w:jc w:val="both"/>
      </w:pPr>
      <w:r w:rsidRPr="00007232">
        <w:t xml:space="preserve">La no presentación del citado certificado o la correspondiente Autorización </w:t>
      </w:r>
      <w:r w:rsidRPr="003974BD">
        <w:t>(Anexo II)</w:t>
      </w:r>
      <w:r w:rsidRPr="00007232">
        <w:t xml:space="preserve"> debidamente suscripta, producirá la invalidez automática de la propuesta.</w:t>
      </w:r>
    </w:p>
    <w:bookmarkEnd w:id="9"/>
    <w:p w14:paraId="3CC33715" w14:textId="77777777" w:rsidR="009F5B31" w:rsidRDefault="009F5B31" w:rsidP="009F5B31">
      <w:pPr>
        <w:spacing w:after="0" w:line="240" w:lineRule="auto"/>
        <w:ind w:left="644" w:right="680"/>
        <w:contextualSpacing/>
        <w:jc w:val="both"/>
      </w:pPr>
    </w:p>
    <w:p w14:paraId="2EE0114D" w14:textId="0AD1EC05" w:rsidR="009F5B31" w:rsidRPr="005B15C4" w:rsidRDefault="009F5B31" w:rsidP="00154BEA">
      <w:pPr>
        <w:numPr>
          <w:ilvl w:val="0"/>
          <w:numId w:val="4"/>
        </w:numPr>
        <w:spacing w:after="0" w:line="240" w:lineRule="auto"/>
        <w:ind w:right="680"/>
        <w:contextualSpacing/>
        <w:jc w:val="both"/>
      </w:pPr>
      <w:bookmarkStart w:id="11" w:name="_Hlk140572919"/>
      <w:r>
        <w:t xml:space="preserve">Reponer </w:t>
      </w:r>
      <w:r w:rsidRPr="005B15C4">
        <w:rPr>
          <w:b/>
          <w:bCs/>
        </w:rPr>
        <w:t>Valor del Pliego</w:t>
      </w:r>
      <w:bookmarkEnd w:id="11"/>
    </w:p>
    <w:p w14:paraId="7B352C43" w14:textId="77777777" w:rsidR="005B15C4" w:rsidRDefault="005B15C4" w:rsidP="005B15C4">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5E25EE84" w14:textId="77777777" w:rsidTr="00810841">
        <w:trPr>
          <w:trHeight w:val="203"/>
        </w:trPr>
        <w:tc>
          <w:tcPr>
            <w:tcW w:w="692" w:type="dxa"/>
          </w:tcPr>
          <w:p w14:paraId="65047948" w14:textId="77777777" w:rsidR="009F5B31" w:rsidRDefault="009F5B31" w:rsidP="00810841">
            <w:pPr>
              <w:ind w:left="-9"/>
              <w:jc w:val="both"/>
              <w:rPr>
                <w:rFonts w:cs="Arial"/>
                <w:b/>
                <w:bCs/>
              </w:rPr>
            </w:pPr>
            <w:proofErr w:type="spellStart"/>
            <w:r>
              <w:rPr>
                <w:rFonts w:cs="Arial"/>
                <w:b/>
                <w:bCs/>
              </w:rPr>
              <w:t>Nº</w:t>
            </w:r>
            <w:proofErr w:type="spellEnd"/>
          </w:p>
        </w:tc>
        <w:tc>
          <w:tcPr>
            <w:tcW w:w="3268" w:type="dxa"/>
          </w:tcPr>
          <w:p w14:paraId="77ADB5D7"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1B271EFD" w14:textId="77777777" w:rsidTr="00810841">
        <w:trPr>
          <w:trHeight w:val="203"/>
        </w:trPr>
        <w:tc>
          <w:tcPr>
            <w:tcW w:w="692" w:type="dxa"/>
          </w:tcPr>
          <w:p w14:paraId="703C3011" w14:textId="77777777" w:rsidR="009F5B31" w:rsidRDefault="009F5B31" w:rsidP="00810841">
            <w:pPr>
              <w:ind w:left="-9"/>
              <w:jc w:val="both"/>
              <w:rPr>
                <w:rFonts w:cs="Arial"/>
                <w:b/>
                <w:bCs/>
              </w:rPr>
            </w:pPr>
            <w:r>
              <w:rPr>
                <w:rFonts w:cs="Arial"/>
                <w:b/>
                <w:bCs/>
              </w:rPr>
              <w:t>Banco</w:t>
            </w:r>
          </w:p>
        </w:tc>
        <w:tc>
          <w:tcPr>
            <w:tcW w:w="3268" w:type="dxa"/>
          </w:tcPr>
          <w:p w14:paraId="500CEE84" w14:textId="77777777" w:rsidR="009F5B31" w:rsidRDefault="009F5B31" w:rsidP="00810841">
            <w:pPr>
              <w:ind w:left="-9"/>
              <w:jc w:val="both"/>
              <w:rPr>
                <w:rFonts w:cs="Arial"/>
                <w:b/>
                <w:bCs/>
              </w:rPr>
            </w:pPr>
            <w:r>
              <w:rPr>
                <w:rFonts w:cs="Arial"/>
                <w:b/>
                <w:bCs/>
              </w:rPr>
              <w:t>De la Pampa</w:t>
            </w:r>
          </w:p>
        </w:tc>
      </w:tr>
      <w:tr w:rsidR="009F5B31" w14:paraId="45765E08" w14:textId="77777777" w:rsidTr="00810841">
        <w:trPr>
          <w:trHeight w:val="203"/>
        </w:trPr>
        <w:tc>
          <w:tcPr>
            <w:tcW w:w="692" w:type="dxa"/>
          </w:tcPr>
          <w:p w14:paraId="46DC8C01" w14:textId="77777777" w:rsidR="009F5B31" w:rsidRDefault="009F5B31" w:rsidP="00810841">
            <w:pPr>
              <w:ind w:left="-9"/>
              <w:jc w:val="both"/>
              <w:rPr>
                <w:rFonts w:cs="Arial"/>
                <w:b/>
                <w:bCs/>
              </w:rPr>
            </w:pPr>
            <w:r>
              <w:rPr>
                <w:rFonts w:cs="Arial"/>
                <w:b/>
                <w:bCs/>
              </w:rPr>
              <w:t>CUIT</w:t>
            </w:r>
          </w:p>
        </w:tc>
        <w:tc>
          <w:tcPr>
            <w:tcW w:w="3268" w:type="dxa"/>
          </w:tcPr>
          <w:p w14:paraId="15F3CFC4"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5E3859E5" w14:textId="77777777" w:rsidTr="00810841">
        <w:trPr>
          <w:trHeight w:val="203"/>
        </w:trPr>
        <w:tc>
          <w:tcPr>
            <w:tcW w:w="692" w:type="dxa"/>
          </w:tcPr>
          <w:p w14:paraId="69022BDA" w14:textId="77777777" w:rsidR="009F5B31" w:rsidRDefault="009F5B31" w:rsidP="00810841">
            <w:pPr>
              <w:ind w:left="-9"/>
              <w:jc w:val="both"/>
              <w:rPr>
                <w:rFonts w:cs="Arial"/>
                <w:b/>
                <w:bCs/>
              </w:rPr>
            </w:pPr>
            <w:r>
              <w:rPr>
                <w:rFonts w:cs="Arial"/>
                <w:b/>
                <w:bCs/>
              </w:rPr>
              <w:t>CBU</w:t>
            </w:r>
          </w:p>
        </w:tc>
        <w:tc>
          <w:tcPr>
            <w:tcW w:w="3268" w:type="dxa"/>
          </w:tcPr>
          <w:p w14:paraId="135926F6"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32DD9EAD" w14:textId="77777777" w:rsidR="009F5B31" w:rsidRDefault="009F5B31" w:rsidP="009F5B31">
      <w:pPr>
        <w:spacing w:after="0" w:line="240" w:lineRule="auto"/>
        <w:ind w:right="680"/>
        <w:contextualSpacing/>
        <w:jc w:val="both"/>
      </w:pPr>
    </w:p>
    <w:p w14:paraId="7B1D2FAE" w14:textId="55C27A8C" w:rsidR="009F5B31" w:rsidRDefault="009F5B31" w:rsidP="009F5B31">
      <w:pPr>
        <w:numPr>
          <w:ilvl w:val="0"/>
          <w:numId w:val="4"/>
        </w:numPr>
        <w:spacing w:after="0" w:line="240" w:lineRule="auto"/>
        <w:ind w:right="680"/>
        <w:contextualSpacing/>
        <w:jc w:val="both"/>
      </w:pPr>
      <w:r>
        <w:t xml:space="preserve">Reponer </w:t>
      </w:r>
      <w:r w:rsidRPr="00EA3C6F">
        <w:rPr>
          <w:b/>
          <w:bCs/>
        </w:rPr>
        <w:t>tasa retributiva de servicios administrativos</w:t>
      </w:r>
      <w:r>
        <w:t xml:space="preserve"> </w:t>
      </w:r>
      <w:r w:rsidRPr="007C0219">
        <w:t xml:space="preserve">(Tasa General de Actuación por Foja) de </w:t>
      </w:r>
      <w:r w:rsidRPr="0043739F">
        <w:rPr>
          <w:b/>
          <w:bCs/>
        </w:rPr>
        <w:t xml:space="preserve">PESOS </w:t>
      </w:r>
      <w:r w:rsidR="00EC0D1F">
        <w:rPr>
          <w:b/>
          <w:bCs/>
        </w:rPr>
        <w:t>DOSCIENTOS VEINTICINCO</w:t>
      </w:r>
      <w:r w:rsidRPr="0043739F">
        <w:rPr>
          <w:b/>
          <w:bCs/>
        </w:rPr>
        <w:t xml:space="preserve"> ($</w:t>
      </w:r>
      <w:r w:rsidR="00EC0D1F">
        <w:rPr>
          <w:b/>
          <w:bCs/>
        </w:rPr>
        <w:t>22</w:t>
      </w:r>
      <w:r w:rsidRPr="0043739F">
        <w:rPr>
          <w:b/>
          <w:bCs/>
        </w:rPr>
        <w:t>5,00)</w:t>
      </w:r>
      <w:r w:rsidRPr="007C0219">
        <w:t xml:space="preserve">, por cada foja de documentación a presentar mediante generación de la boleta en el sitio </w:t>
      </w:r>
      <w:hyperlink r:id="rId9" w:history="1">
        <w:r w:rsidRPr="007C0219">
          <w:t>https://dgr.lapampa.gob.ar/tasas-retributivas-de-servicios-nueva-version-imprimible/contaduria-general-de-la-provincia.html</w:t>
        </w:r>
      </w:hyperlink>
      <w:r w:rsidRPr="007C0219">
        <w:t xml:space="preserve"> de la Dirección General de Rentas o el que lo reemplace.</w:t>
      </w:r>
    </w:p>
    <w:p w14:paraId="29BB2870" w14:textId="77777777" w:rsidR="009F5B31" w:rsidRDefault="009F5B31" w:rsidP="009F5B31">
      <w:pPr>
        <w:pStyle w:val="NormalWeb"/>
        <w:jc w:val="both"/>
        <w:rPr>
          <w:rStyle w:val="Textoennegrita"/>
          <w:color w:val="000000"/>
          <w:sz w:val="24"/>
          <w:szCs w:val="24"/>
        </w:rPr>
      </w:pPr>
    </w:p>
    <w:p w14:paraId="397D3205" w14:textId="5CC35015" w:rsidR="005B15C4" w:rsidRDefault="005B15C4" w:rsidP="009F5B31">
      <w:pPr>
        <w:pStyle w:val="NormalWeb"/>
        <w:ind w:right="709"/>
        <w:jc w:val="both"/>
        <w:rPr>
          <w:rStyle w:val="Textoennegrita"/>
          <w:color w:val="000000"/>
        </w:rPr>
      </w:pPr>
      <w:proofErr w:type="gramStart"/>
      <w:r>
        <w:rPr>
          <w:rStyle w:val="Textoennegrita"/>
          <w:color w:val="000000"/>
        </w:rPr>
        <w:t>ATENCIÓN!!</w:t>
      </w:r>
      <w:proofErr w:type="gramEnd"/>
      <w:r>
        <w:rPr>
          <w:rStyle w:val="Textoennegrita"/>
          <w:color w:val="000000"/>
        </w:rPr>
        <w:t xml:space="preserve"> Los puntos e) y f) aplican solo para Licitaciones Públicas.</w:t>
      </w:r>
    </w:p>
    <w:p w14:paraId="0C0B1ED7" w14:textId="503FC534"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21AAE2E4" w14:textId="77777777" w:rsidR="009F5B31" w:rsidRPr="00234422" w:rsidRDefault="009F5B31" w:rsidP="009F5B31">
      <w:pPr>
        <w:pStyle w:val="NormalWeb"/>
        <w:ind w:right="709"/>
        <w:jc w:val="both"/>
        <w:rPr>
          <w:color w:val="000000"/>
        </w:rPr>
      </w:pPr>
    </w:p>
    <w:p w14:paraId="33CF14ED" w14:textId="77777777" w:rsidR="004A7B76" w:rsidRDefault="004A7B76" w:rsidP="004A7B76">
      <w:pPr>
        <w:spacing w:after="0" w:line="240" w:lineRule="auto"/>
        <w:rPr>
          <w:b/>
        </w:rPr>
      </w:pPr>
      <w:r>
        <w:rPr>
          <w:b/>
        </w:rPr>
        <w:t>1</w:t>
      </w:r>
      <w:r w:rsidR="00E65326">
        <w:rPr>
          <w:b/>
        </w:rPr>
        <w:t>2</w:t>
      </w:r>
      <w:r>
        <w:rPr>
          <w:b/>
        </w:rPr>
        <w:t>. Forma de Presentación de Ofertas</w:t>
      </w:r>
    </w:p>
    <w:p w14:paraId="2A62A89B"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25EB1A5A" w14:textId="77777777" w:rsidR="004A7B76" w:rsidRDefault="004A7B76" w:rsidP="004A7B76">
      <w:pPr>
        <w:spacing w:after="0" w:line="240" w:lineRule="auto"/>
      </w:pPr>
    </w:p>
    <w:p w14:paraId="475EB295" w14:textId="77777777" w:rsidR="00BB29EA" w:rsidRDefault="00BB29EA" w:rsidP="00BB29EA">
      <w:pPr>
        <w:spacing w:after="0" w:line="240" w:lineRule="auto"/>
        <w:jc w:val="both"/>
        <w:rPr>
          <w:rFonts w:cs="Calibri"/>
        </w:rPr>
      </w:pPr>
      <w:bookmarkStart w:id="12"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16F5C756" w14:textId="663CD4B5"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9B4004">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12"/>
    <w:p w14:paraId="6DECF379" w14:textId="77777777" w:rsidR="004A7B76" w:rsidRDefault="004A7B76" w:rsidP="004A7B76">
      <w:pPr>
        <w:spacing w:after="0" w:line="240" w:lineRule="auto"/>
        <w:rPr>
          <w:b/>
        </w:rPr>
      </w:pPr>
      <w:permStart w:id="1740335857" w:edGrp="everyone"/>
    </w:p>
    <w:permEnd w:id="1740335857"/>
    <w:p w14:paraId="364562DE" w14:textId="77777777" w:rsidR="004A7B76" w:rsidRPr="001833CA" w:rsidRDefault="004A7B76" w:rsidP="004A7B76">
      <w:pPr>
        <w:spacing w:after="0" w:line="240" w:lineRule="auto"/>
        <w:rPr>
          <w:sz w:val="20"/>
          <w:szCs w:val="20"/>
        </w:rPr>
      </w:pPr>
    </w:p>
    <w:p w14:paraId="1EEEA682" w14:textId="77777777" w:rsidR="00B6712D" w:rsidRDefault="00B6712D" w:rsidP="00B6712D">
      <w:pPr>
        <w:spacing w:after="0" w:line="240" w:lineRule="auto"/>
        <w:rPr>
          <w:b/>
        </w:rPr>
      </w:pPr>
    </w:p>
    <w:p w14:paraId="4476841F" w14:textId="77777777" w:rsidR="00E07D8B" w:rsidRDefault="008419CD" w:rsidP="00E07D8B">
      <w:pPr>
        <w:spacing w:after="0" w:line="240" w:lineRule="auto"/>
        <w:rPr>
          <w:b/>
        </w:rPr>
      </w:pPr>
      <w:r>
        <w:rPr>
          <w:b/>
        </w:rPr>
        <w:t>1</w:t>
      </w:r>
      <w:r w:rsidR="00E65326">
        <w:rPr>
          <w:b/>
        </w:rPr>
        <w:t>3</w:t>
      </w:r>
      <w:r w:rsidR="00B6712D">
        <w:rPr>
          <w:b/>
        </w:rPr>
        <w:t xml:space="preserve">. </w:t>
      </w:r>
      <w:bookmarkStart w:id="13" w:name="_Hlk107559452"/>
      <w:r w:rsidR="00E07D8B">
        <w:rPr>
          <w:b/>
        </w:rPr>
        <w:t>Apertura de Ofertas</w:t>
      </w:r>
    </w:p>
    <w:p w14:paraId="11B76A43"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44744D61"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7341C51D" w14:textId="77777777" w:rsidTr="00E83239">
        <w:trPr>
          <w:trHeight w:val="558"/>
        </w:trPr>
        <w:tc>
          <w:tcPr>
            <w:tcW w:w="4786" w:type="dxa"/>
            <w:shd w:val="clear" w:color="auto" w:fill="auto"/>
          </w:tcPr>
          <w:p w14:paraId="3CC94F31" w14:textId="77777777" w:rsidR="00E07D8B" w:rsidRPr="00E07D8B" w:rsidRDefault="00E07D8B" w:rsidP="005907E7">
            <w:pPr>
              <w:spacing w:after="0" w:line="240" w:lineRule="auto"/>
            </w:pPr>
            <w:r w:rsidRPr="00E07D8B">
              <w:t>Lugar de Apertura</w:t>
            </w:r>
          </w:p>
        </w:tc>
        <w:tc>
          <w:tcPr>
            <w:tcW w:w="2693" w:type="dxa"/>
            <w:shd w:val="clear" w:color="auto" w:fill="auto"/>
          </w:tcPr>
          <w:p w14:paraId="11EFD32F" w14:textId="77777777" w:rsidR="00E07D8B" w:rsidRPr="00E07D8B" w:rsidRDefault="00E07D8B" w:rsidP="005907E7">
            <w:pPr>
              <w:spacing w:after="0" w:line="240" w:lineRule="auto"/>
            </w:pPr>
            <w:r w:rsidRPr="00E07D8B">
              <w:t>Día de Apertura</w:t>
            </w:r>
          </w:p>
        </w:tc>
        <w:tc>
          <w:tcPr>
            <w:tcW w:w="2628" w:type="dxa"/>
            <w:shd w:val="clear" w:color="auto" w:fill="auto"/>
          </w:tcPr>
          <w:p w14:paraId="38857762" w14:textId="77777777" w:rsidR="00E07D8B" w:rsidRPr="00E07D8B" w:rsidRDefault="00E07D8B" w:rsidP="005907E7">
            <w:pPr>
              <w:spacing w:after="0" w:line="240" w:lineRule="auto"/>
            </w:pPr>
            <w:r w:rsidRPr="00E07D8B">
              <w:t>Hora de Apertura</w:t>
            </w:r>
          </w:p>
        </w:tc>
      </w:tr>
      <w:tr w:rsidR="00BA3E2B" w:rsidRPr="005907E7" w14:paraId="379D222A" w14:textId="77777777" w:rsidTr="00E83239">
        <w:trPr>
          <w:trHeight w:val="452"/>
        </w:trPr>
        <w:tc>
          <w:tcPr>
            <w:tcW w:w="4786" w:type="dxa"/>
            <w:shd w:val="clear" w:color="auto" w:fill="auto"/>
          </w:tcPr>
          <w:p w14:paraId="3D33D38F"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0847EFB1" w14:textId="77777777" w:rsidR="00BA3E2B" w:rsidRPr="005907E7" w:rsidRDefault="00BA3E2B" w:rsidP="00BA3E2B">
            <w:pPr>
              <w:spacing w:after="0" w:line="240" w:lineRule="auto"/>
              <w:rPr>
                <w:sz w:val="18"/>
              </w:rPr>
            </w:pPr>
          </w:p>
        </w:tc>
        <w:tc>
          <w:tcPr>
            <w:tcW w:w="2628" w:type="dxa"/>
            <w:shd w:val="clear" w:color="auto" w:fill="auto"/>
          </w:tcPr>
          <w:p w14:paraId="4AC30B81" w14:textId="77777777" w:rsidR="00BA3E2B" w:rsidRPr="005907E7" w:rsidRDefault="00BA3E2B" w:rsidP="00BA3E2B">
            <w:pPr>
              <w:spacing w:after="0" w:line="240" w:lineRule="auto"/>
              <w:rPr>
                <w:sz w:val="18"/>
              </w:rPr>
            </w:pPr>
          </w:p>
        </w:tc>
      </w:tr>
      <w:bookmarkEnd w:id="13"/>
    </w:tbl>
    <w:p w14:paraId="223477FB" w14:textId="77777777" w:rsidR="00B6712D" w:rsidRDefault="00B6712D" w:rsidP="00B6712D">
      <w:pPr>
        <w:spacing w:after="0" w:line="240" w:lineRule="auto"/>
        <w:rPr>
          <w:sz w:val="18"/>
        </w:rPr>
      </w:pPr>
    </w:p>
    <w:p w14:paraId="51EBA00A" w14:textId="77777777" w:rsidR="00B6712D" w:rsidRDefault="00B6712D" w:rsidP="00B6712D">
      <w:pPr>
        <w:spacing w:after="0" w:line="240" w:lineRule="auto"/>
        <w:rPr>
          <w:b/>
        </w:rPr>
      </w:pPr>
      <w:r>
        <w:rPr>
          <w:b/>
        </w:rPr>
        <w:t>1</w:t>
      </w:r>
      <w:r w:rsidR="00E65326">
        <w:rPr>
          <w:b/>
        </w:rPr>
        <w:t>4</w:t>
      </w:r>
      <w:r>
        <w:rPr>
          <w:b/>
        </w:rPr>
        <w:t xml:space="preserve">. Plazo de </w:t>
      </w:r>
      <w:r w:rsidR="00D53091">
        <w:rPr>
          <w:b/>
        </w:rPr>
        <w:t>Mantenimiento</w:t>
      </w:r>
      <w:r>
        <w:rPr>
          <w:b/>
        </w:rPr>
        <w:t xml:space="preserve"> de la Oferta</w:t>
      </w:r>
    </w:p>
    <w:p w14:paraId="576780E3" w14:textId="77777777" w:rsidR="00B6712D" w:rsidRPr="00FD35D9" w:rsidRDefault="00B6712D" w:rsidP="00B6712D">
      <w:pPr>
        <w:spacing w:after="0" w:line="240" w:lineRule="auto"/>
        <w:rPr>
          <w:color w:val="808080"/>
          <w:sz w:val="20"/>
          <w:szCs w:val="20"/>
        </w:rPr>
      </w:pPr>
      <w:bookmarkStart w:id="14"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38C87BD4" w14:textId="77777777" w:rsidR="00B6712D" w:rsidRDefault="00B6712D" w:rsidP="00B6712D">
      <w:pPr>
        <w:spacing w:after="0" w:line="240" w:lineRule="auto"/>
        <w:rPr>
          <w:sz w:val="18"/>
        </w:rPr>
      </w:pPr>
    </w:p>
    <w:bookmarkEnd w:id="14"/>
    <w:p w14:paraId="7E43350D" w14:textId="77777777" w:rsidR="00B6712D" w:rsidRPr="00FC1C94" w:rsidRDefault="001C13A5" w:rsidP="0024088A">
      <w:pPr>
        <w:spacing w:after="0" w:line="240" w:lineRule="auto"/>
        <w:jc w:val="both"/>
        <w:rPr>
          <w:sz w:val="20"/>
          <w:szCs w:val="20"/>
        </w:rPr>
      </w:pPr>
      <w:r w:rsidRPr="0024088A">
        <w:t xml:space="preserve">Las ofertas deberán ser mantenidas por el término de </w:t>
      </w:r>
      <w:permStart w:id="1559187746" w:edGrp="everyone"/>
      <w:r w:rsidR="000D7F53">
        <w:t xml:space="preserve"> </w:t>
      </w:r>
      <w:permEnd w:id="1559187746"/>
      <w:r w:rsidR="000D7F53">
        <w:t xml:space="preserve"> </w:t>
      </w:r>
      <w:r w:rsidRPr="0024088A">
        <w:t>(</w:t>
      </w:r>
      <w:permStart w:id="1329793669" w:edGrp="everyone"/>
      <w:r w:rsidR="000D7F53">
        <w:t xml:space="preserve"> </w:t>
      </w:r>
      <w:permEnd w:id="1329793669"/>
      <w:r w:rsidRPr="0024088A">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9B4004">
        <w:t>se comunique la</w:t>
      </w:r>
      <w:r w:rsidRPr="0024088A">
        <w:t xml:space="preserve"> decisión en contrario, por un medio fehaciente antes del vencimiento del plazo original</w:t>
      </w:r>
      <w:r w:rsidRPr="00DC5D60">
        <w:rPr>
          <w:sz w:val="20"/>
          <w:szCs w:val="20"/>
        </w:rPr>
        <w:t>.</w:t>
      </w:r>
    </w:p>
    <w:p w14:paraId="73572709" w14:textId="77777777" w:rsidR="00FC1C94" w:rsidRDefault="00FC1C94" w:rsidP="00B6712D">
      <w:pPr>
        <w:spacing w:after="0" w:line="240" w:lineRule="auto"/>
        <w:rPr>
          <w:sz w:val="18"/>
        </w:rPr>
      </w:pPr>
    </w:p>
    <w:p w14:paraId="71817316" w14:textId="77777777" w:rsidR="00B6712D" w:rsidRDefault="009F5B31" w:rsidP="00B6712D">
      <w:pPr>
        <w:spacing w:after="0" w:line="240" w:lineRule="auto"/>
        <w:rPr>
          <w:b/>
        </w:rPr>
      </w:pPr>
      <w:r>
        <w:rPr>
          <w:b/>
        </w:rPr>
        <w:t>1</w:t>
      </w:r>
      <w:r w:rsidR="00E65326">
        <w:rPr>
          <w:b/>
        </w:rPr>
        <w:t>5</w:t>
      </w:r>
      <w:r w:rsidR="00B6712D">
        <w:rPr>
          <w:b/>
        </w:rPr>
        <w:t>. Garantía</w:t>
      </w:r>
      <w:r w:rsidR="00C15202">
        <w:rPr>
          <w:b/>
        </w:rPr>
        <w:t>s</w:t>
      </w:r>
    </w:p>
    <w:p w14:paraId="0E2905B6"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56CCCE30" w14:textId="77777777" w:rsidR="0048778B" w:rsidRDefault="0048778B" w:rsidP="00727248">
      <w:pPr>
        <w:jc w:val="both"/>
        <w:rPr>
          <w:rFonts w:cs="Arial"/>
        </w:rPr>
      </w:pPr>
    </w:p>
    <w:p w14:paraId="0A0EF4B0"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7ACDB0F7" w14:textId="77777777" w:rsidR="00727248" w:rsidRPr="00702D96" w:rsidRDefault="006317D3" w:rsidP="00727248">
      <w:pPr>
        <w:jc w:val="both"/>
        <w:rPr>
          <w:rFonts w:cs="Arial"/>
        </w:rPr>
      </w:pPr>
      <w:r>
        <w:rPr>
          <w:rFonts w:cs="Arial"/>
        </w:rPr>
        <w:t>Se deberá</w:t>
      </w:r>
      <w:r w:rsidR="00727248" w:rsidRPr="00702D96">
        <w:rPr>
          <w:rFonts w:cs="Arial"/>
        </w:rPr>
        <w:t xml:space="preserve"> constituir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400AFA4D"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00313E82"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7C37AF3B" w14:textId="77777777" w:rsidR="00B6712D" w:rsidRDefault="001E3807" w:rsidP="00B6712D">
      <w:pPr>
        <w:widowControl w:val="0"/>
        <w:autoSpaceDE w:val="0"/>
        <w:autoSpaceDN w:val="0"/>
        <w:adjustRightInd w:val="0"/>
        <w:spacing w:after="0" w:line="240" w:lineRule="auto"/>
        <w:rPr>
          <w:rFonts w:cs="Helvetica"/>
          <w:b/>
          <w:bCs/>
        </w:rPr>
      </w:pPr>
      <w:r>
        <w:rPr>
          <w:rFonts w:cs="Helvetica"/>
          <w:b/>
          <w:bCs/>
        </w:rPr>
        <w:t>1</w:t>
      </w:r>
      <w:r w:rsidR="00E65326">
        <w:rPr>
          <w:rFonts w:cs="Helvetica"/>
          <w:b/>
          <w:bCs/>
        </w:rPr>
        <w:t>6</w:t>
      </w:r>
      <w:r w:rsidR="00B6712D" w:rsidRPr="00702D96">
        <w:rPr>
          <w:rFonts w:cs="Helvetica"/>
          <w:b/>
          <w:bCs/>
        </w:rPr>
        <w:t>. Forma de constitución de las garantías</w:t>
      </w:r>
    </w:p>
    <w:p w14:paraId="7F4A5880" w14:textId="77777777" w:rsidR="00C15202" w:rsidRPr="00702D96" w:rsidRDefault="00C15202" w:rsidP="00B6712D">
      <w:pPr>
        <w:widowControl w:val="0"/>
        <w:autoSpaceDE w:val="0"/>
        <w:autoSpaceDN w:val="0"/>
        <w:adjustRightInd w:val="0"/>
        <w:spacing w:after="0" w:line="240" w:lineRule="auto"/>
        <w:rPr>
          <w:rFonts w:cs="Helvetica"/>
          <w:b/>
          <w:bCs/>
        </w:rPr>
      </w:pPr>
    </w:p>
    <w:p w14:paraId="62322EA5"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 xml:space="preserve">En efectivo, </w:t>
      </w:r>
      <w:r w:rsidR="00020477">
        <w:t>m</w:t>
      </w:r>
      <w:r w:rsidRPr="00702D96">
        <w:t>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r w:rsidR="0048778B">
        <w:t>.</w:t>
      </w:r>
    </w:p>
    <w:p w14:paraId="3A344B6E"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xml:space="preserve">, contra una entidad bancaria, con preferencia del lugar donde se realice la licitación, o giro postal o bancario; </w:t>
      </w:r>
      <w:r w:rsidR="0048778B">
        <w:t>e</w:t>
      </w:r>
      <w:r w:rsidRPr="00727248">
        <w:t>l organismo depositará el cheque dentro de los plazos que rige</w:t>
      </w:r>
      <w:r>
        <w:t xml:space="preserve">n </w:t>
      </w:r>
      <w:r>
        <w:lastRenderedPageBreak/>
        <w:t>para estas operaciones</w:t>
      </w:r>
      <w:r w:rsidR="0048778B">
        <w:t>.</w:t>
      </w:r>
    </w:p>
    <w:p w14:paraId="033E8C7D" w14:textId="77777777" w:rsidR="00727248" w:rsidRDefault="00727248" w:rsidP="005707C9">
      <w:pPr>
        <w:widowControl w:val="0"/>
        <w:numPr>
          <w:ilvl w:val="0"/>
          <w:numId w:val="10"/>
        </w:numPr>
        <w:autoSpaceDE w:val="0"/>
        <w:autoSpaceDN w:val="0"/>
        <w:adjustRightInd w:val="0"/>
        <w:spacing w:after="0" w:line="240" w:lineRule="auto"/>
        <w:jc w:val="both"/>
      </w:pPr>
      <w:r w:rsidRPr="00727248">
        <w:t xml:space="preserve">En títulos nacionales, provinciales o municipales aforados a su valor nominal; </w:t>
      </w:r>
      <w:r w:rsidR="0048778B">
        <w:t>e</w:t>
      </w:r>
      <w:r w:rsidRPr="00727248">
        <w:t>n caso de ejecución de los valores a que se refiere este apartado, se formulará cargo por los gastos que ella ocasione y por la diferencia que resultare si se liquidare bajo la par.  El eventual excedente queda sujeto a las disposiciones de los artículos 45 y 46</w:t>
      </w:r>
      <w:r w:rsidR="0048778B">
        <w:t>.</w:t>
      </w:r>
    </w:p>
    <w:p w14:paraId="11A03C81"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r w:rsidR="0048778B">
        <w:t>.</w:t>
      </w:r>
    </w:p>
    <w:p w14:paraId="4B3DD0F8" w14:textId="77777777" w:rsidR="00727248" w:rsidRDefault="006317D3"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r w:rsidR="0048778B">
        <w:t>.</w:t>
      </w:r>
    </w:p>
    <w:p w14:paraId="1D869C1A"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r w:rsidR="00372545">
        <w:t>.</w:t>
      </w:r>
    </w:p>
    <w:p w14:paraId="537C4A6D" w14:textId="77777777" w:rsidR="00700E3A" w:rsidRPr="00F66D39" w:rsidRDefault="00700E3A" w:rsidP="00700E3A">
      <w:pPr>
        <w:widowControl w:val="0"/>
        <w:numPr>
          <w:ilvl w:val="0"/>
          <w:numId w:val="10"/>
        </w:numPr>
        <w:autoSpaceDE w:val="0"/>
        <w:autoSpaceDN w:val="0"/>
        <w:adjustRightInd w:val="0"/>
        <w:spacing w:after="0" w:line="240" w:lineRule="auto"/>
        <w:jc w:val="both"/>
        <w:rPr>
          <w:rFonts w:cs="Arial"/>
        </w:rPr>
      </w:pPr>
      <w:bookmarkStart w:id="15"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5"/>
    <w:p w14:paraId="5E023C9B"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1093F10B" w14:textId="77777777" w:rsidTr="00727248">
        <w:trPr>
          <w:trHeight w:val="302"/>
        </w:trPr>
        <w:tc>
          <w:tcPr>
            <w:tcW w:w="241" w:type="dxa"/>
            <w:shd w:val="pct10" w:color="E7E6E6" w:fill="auto"/>
            <w:vAlign w:val="center"/>
          </w:tcPr>
          <w:p w14:paraId="16DBFD5F" w14:textId="77777777" w:rsidR="00B6712D" w:rsidRDefault="00B6712D" w:rsidP="005707C9">
            <w:pPr>
              <w:spacing w:after="0" w:line="276" w:lineRule="auto"/>
              <w:jc w:val="both"/>
            </w:pPr>
          </w:p>
        </w:tc>
      </w:tr>
    </w:tbl>
    <w:p w14:paraId="1692EA12"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4B244DB2" w14:textId="77777777" w:rsidTr="002B2732">
        <w:trPr>
          <w:trHeight w:val="203"/>
        </w:trPr>
        <w:tc>
          <w:tcPr>
            <w:tcW w:w="692" w:type="dxa"/>
          </w:tcPr>
          <w:p w14:paraId="1D2A7B6C" w14:textId="77777777" w:rsidR="001C13A5" w:rsidRDefault="001C13A5" w:rsidP="002B2732">
            <w:pPr>
              <w:ind w:left="-9"/>
              <w:jc w:val="both"/>
              <w:rPr>
                <w:rFonts w:cs="Arial"/>
                <w:b/>
                <w:bCs/>
              </w:rPr>
            </w:pPr>
            <w:r>
              <w:rPr>
                <w:rFonts w:cs="Arial"/>
                <w:b/>
                <w:bCs/>
              </w:rPr>
              <w:t>Nº</w:t>
            </w:r>
          </w:p>
        </w:tc>
        <w:tc>
          <w:tcPr>
            <w:tcW w:w="3268" w:type="dxa"/>
          </w:tcPr>
          <w:p w14:paraId="01CDB1A2"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7BA159C5" w14:textId="77777777" w:rsidTr="002B2732">
        <w:trPr>
          <w:trHeight w:val="203"/>
        </w:trPr>
        <w:tc>
          <w:tcPr>
            <w:tcW w:w="692" w:type="dxa"/>
          </w:tcPr>
          <w:p w14:paraId="4AC58832" w14:textId="77777777" w:rsidR="001C13A5" w:rsidRDefault="001C13A5" w:rsidP="002B2732">
            <w:pPr>
              <w:ind w:left="-9"/>
              <w:jc w:val="both"/>
              <w:rPr>
                <w:rFonts w:cs="Arial"/>
                <w:b/>
                <w:bCs/>
              </w:rPr>
            </w:pPr>
            <w:r>
              <w:rPr>
                <w:rFonts w:cs="Arial"/>
                <w:b/>
                <w:bCs/>
              </w:rPr>
              <w:t>Banco</w:t>
            </w:r>
          </w:p>
        </w:tc>
        <w:tc>
          <w:tcPr>
            <w:tcW w:w="3268" w:type="dxa"/>
          </w:tcPr>
          <w:p w14:paraId="1706D18A" w14:textId="77777777" w:rsidR="001C13A5" w:rsidRDefault="001C13A5" w:rsidP="002B2732">
            <w:pPr>
              <w:ind w:left="-9"/>
              <w:jc w:val="both"/>
              <w:rPr>
                <w:rFonts w:cs="Arial"/>
                <w:b/>
                <w:bCs/>
              </w:rPr>
            </w:pPr>
            <w:r>
              <w:rPr>
                <w:rFonts w:cs="Arial"/>
                <w:b/>
                <w:bCs/>
              </w:rPr>
              <w:t>De la Pampa</w:t>
            </w:r>
          </w:p>
        </w:tc>
      </w:tr>
      <w:tr w:rsidR="001C13A5" w14:paraId="4BBF32CE" w14:textId="77777777" w:rsidTr="002B2732">
        <w:trPr>
          <w:trHeight w:val="203"/>
        </w:trPr>
        <w:tc>
          <w:tcPr>
            <w:tcW w:w="692" w:type="dxa"/>
          </w:tcPr>
          <w:p w14:paraId="77FDD512" w14:textId="77777777" w:rsidR="001C13A5" w:rsidRDefault="001C13A5" w:rsidP="002B2732">
            <w:pPr>
              <w:ind w:left="-9"/>
              <w:jc w:val="both"/>
              <w:rPr>
                <w:rFonts w:cs="Arial"/>
                <w:b/>
                <w:bCs/>
              </w:rPr>
            </w:pPr>
            <w:r>
              <w:rPr>
                <w:rFonts w:cs="Arial"/>
                <w:b/>
                <w:bCs/>
              </w:rPr>
              <w:t>CUIT</w:t>
            </w:r>
          </w:p>
        </w:tc>
        <w:tc>
          <w:tcPr>
            <w:tcW w:w="3268" w:type="dxa"/>
          </w:tcPr>
          <w:p w14:paraId="5FE41324"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227F7412" w14:textId="77777777" w:rsidTr="002B2732">
        <w:trPr>
          <w:trHeight w:val="203"/>
        </w:trPr>
        <w:tc>
          <w:tcPr>
            <w:tcW w:w="692" w:type="dxa"/>
          </w:tcPr>
          <w:p w14:paraId="010CE3CE" w14:textId="77777777" w:rsidR="001C13A5" w:rsidRDefault="001C13A5" w:rsidP="002B2732">
            <w:pPr>
              <w:ind w:left="-9"/>
              <w:jc w:val="both"/>
              <w:rPr>
                <w:rFonts w:cs="Arial"/>
                <w:b/>
                <w:bCs/>
              </w:rPr>
            </w:pPr>
            <w:r>
              <w:rPr>
                <w:rFonts w:cs="Arial"/>
                <w:b/>
                <w:bCs/>
              </w:rPr>
              <w:t>CBU</w:t>
            </w:r>
          </w:p>
        </w:tc>
        <w:tc>
          <w:tcPr>
            <w:tcW w:w="3268" w:type="dxa"/>
          </w:tcPr>
          <w:p w14:paraId="668BF694"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0E948F7D" w14:textId="77777777" w:rsidR="001C13A5" w:rsidRDefault="001C13A5" w:rsidP="001C13A5">
      <w:pPr>
        <w:spacing w:after="0"/>
        <w:jc w:val="both"/>
        <w:rPr>
          <w:rFonts w:cs="Arial"/>
        </w:rPr>
      </w:pPr>
    </w:p>
    <w:p w14:paraId="745163AE" w14:textId="77777777" w:rsidR="001C13A5" w:rsidRPr="00702D96" w:rsidRDefault="001C13A5" w:rsidP="001C13A5">
      <w:pPr>
        <w:spacing w:after="0"/>
        <w:jc w:val="both"/>
        <w:rPr>
          <w:rFonts w:cs="Arial"/>
        </w:rPr>
      </w:pPr>
      <w:r w:rsidRPr="00702D96">
        <w:rPr>
          <w:rFonts w:cs="Arial"/>
        </w:rPr>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6317D3">
        <w:rPr>
          <w:rFonts w:cs="Arial"/>
        </w:rPr>
        <w:t>/a</w:t>
      </w:r>
      <w:r w:rsidRPr="00702D96">
        <w:rPr>
          <w:rFonts w:cs="Arial"/>
        </w:rPr>
        <w:t xml:space="preserve"> Público</w:t>
      </w:r>
      <w:r w:rsidR="006317D3">
        <w:rPr>
          <w:rFonts w:cs="Arial"/>
        </w:rPr>
        <w:t>/a</w:t>
      </w:r>
      <w:r w:rsidRPr="00702D96">
        <w:rPr>
          <w:rFonts w:cs="Arial"/>
        </w:rPr>
        <w:t xml:space="preserve"> y </w:t>
      </w:r>
      <w:r>
        <w:rPr>
          <w:rFonts w:cs="Arial"/>
        </w:rPr>
        <w:t>l</w:t>
      </w:r>
      <w:r w:rsidRPr="00702D96">
        <w:rPr>
          <w:rFonts w:cs="Arial"/>
        </w:rPr>
        <w:t xml:space="preserve">egalizada por el </w:t>
      </w:r>
      <w:r w:rsidR="006317D3">
        <w:rPr>
          <w:rFonts w:cs="Arial"/>
        </w:rPr>
        <w:t xml:space="preserve">respectivo </w:t>
      </w:r>
      <w:r w:rsidRPr="00702D96">
        <w:rPr>
          <w:rFonts w:cs="Arial"/>
        </w:rPr>
        <w:t>Colegio.</w:t>
      </w:r>
    </w:p>
    <w:p w14:paraId="716A1008" w14:textId="77777777" w:rsidR="00727248" w:rsidRDefault="00727248" w:rsidP="00B6712D">
      <w:pPr>
        <w:spacing w:after="0" w:line="240" w:lineRule="auto"/>
        <w:rPr>
          <w:b/>
        </w:rPr>
      </w:pPr>
    </w:p>
    <w:p w14:paraId="0CF5ECA2" w14:textId="77777777" w:rsidR="00B6712D" w:rsidRDefault="001E3807" w:rsidP="00B6712D">
      <w:pPr>
        <w:spacing w:after="0" w:line="240" w:lineRule="auto"/>
        <w:rPr>
          <w:b/>
        </w:rPr>
      </w:pPr>
      <w:r>
        <w:rPr>
          <w:b/>
        </w:rPr>
        <w:t>1</w:t>
      </w:r>
      <w:r w:rsidR="00E65326">
        <w:rPr>
          <w:b/>
        </w:rPr>
        <w:t>7</w:t>
      </w:r>
      <w:r w:rsidR="00B6712D">
        <w:rPr>
          <w:b/>
        </w:rPr>
        <w:t>. Criterio de Evaluación y Selección de Ofertas</w:t>
      </w:r>
    </w:p>
    <w:p w14:paraId="5183C1B7"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46AB7288"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3A559835" w14:textId="77777777" w:rsidR="00B6712D" w:rsidRDefault="00B6712D" w:rsidP="00B6712D">
      <w:pPr>
        <w:spacing w:after="0" w:line="240" w:lineRule="auto"/>
        <w:ind w:left="284"/>
        <w:rPr>
          <w:sz w:val="18"/>
        </w:rPr>
      </w:pPr>
    </w:p>
    <w:p w14:paraId="00BD0A11"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6F37D55C" w14:textId="77777777" w:rsidR="00B6712D" w:rsidRPr="007347F6" w:rsidRDefault="00B6712D" w:rsidP="00B6712D">
      <w:pPr>
        <w:spacing w:after="0" w:line="240" w:lineRule="auto"/>
        <w:ind w:left="1418" w:right="680"/>
        <w:jc w:val="both"/>
      </w:pPr>
    </w:p>
    <w:p w14:paraId="4C012A8D"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63CA3977" w14:textId="77777777" w:rsidR="00B6712D" w:rsidRPr="007347F6" w:rsidRDefault="00B6712D" w:rsidP="00B6712D">
      <w:pPr>
        <w:spacing w:after="0" w:line="240" w:lineRule="auto"/>
        <w:ind w:left="1418" w:right="680"/>
        <w:jc w:val="both"/>
      </w:pPr>
    </w:p>
    <w:p w14:paraId="600B66B1"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306F73B0" w14:textId="77777777" w:rsidR="00B6712D" w:rsidRDefault="00B6712D" w:rsidP="00B6712D">
      <w:pPr>
        <w:spacing w:after="0" w:line="240" w:lineRule="auto"/>
        <w:ind w:left="1418" w:right="680"/>
        <w:jc w:val="both"/>
        <w:rPr>
          <w:sz w:val="18"/>
        </w:rPr>
      </w:pPr>
    </w:p>
    <w:p w14:paraId="3EB5E32E" w14:textId="77777777" w:rsidR="00B6712D" w:rsidRDefault="00B6712D" w:rsidP="00B6712D">
      <w:pPr>
        <w:numPr>
          <w:ilvl w:val="0"/>
          <w:numId w:val="7"/>
        </w:numPr>
        <w:spacing w:after="0" w:line="240" w:lineRule="auto"/>
        <w:ind w:left="1418" w:right="680"/>
        <w:contextualSpacing/>
        <w:jc w:val="both"/>
      </w:pPr>
      <w:r>
        <w:lastRenderedPageBreak/>
        <w:t xml:space="preserve">No serán considerados a los fines de la adjudicación, descuentos de ninguna clase que </w:t>
      </w:r>
      <w:r w:rsidR="006317D3">
        <w:t xml:space="preserve">se </w:t>
      </w:r>
      <w:r>
        <w:t>pudieran ofrecer por pronto pago y aquellos que condicionen la oferta, alterando las bases de la concurrencia.</w:t>
      </w:r>
    </w:p>
    <w:p w14:paraId="62D9370C" w14:textId="77777777" w:rsidR="00B6712D" w:rsidRDefault="00B6712D" w:rsidP="00B6712D">
      <w:pPr>
        <w:spacing w:after="0" w:line="240" w:lineRule="auto"/>
        <w:rPr>
          <w:b/>
          <w:sz w:val="18"/>
        </w:rPr>
      </w:pPr>
    </w:p>
    <w:p w14:paraId="4221B14F" w14:textId="59C99EF1" w:rsidR="002E0ECD" w:rsidRPr="00EA675F" w:rsidRDefault="00CC4A9D" w:rsidP="0094406A">
      <w:pPr>
        <w:pStyle w:val="Textoindependiente"/>
        <w:tabs>
          <w:tab w:val="left" w:pos="927"/>
        </w:tabs>
        <w:suppressAutoHyphens/>
        <w:rPr>
          <w:rFonts w:ascii="Calibri" w:hAnsi="Calibri" w:cs="Calibri"/>
          <w:sz w:val="22"/>
          <w:szCs w:val="22"/>
        </w:rPr>
      </w:pPr>
      <w:permStart w:id="2119902947" w:edGrp="everyone"/>
      <w:r>
        <w:rPr>
          <w:rFonts w:ascii="Calibri" w:hAnsi="Calibri" w:cs="Calibri"/>
          <w:sz w:val="22"/>
          <w:szCs w:val="22"/>
        </w:rPr>
        <w:t xml:space="preserve">  </w:t>
      </w:r>
    </w:p>
    <w:permEnd w:id="2119902947"/>
    <w:p w14:paraId="219BF765" w14:textId="77777777" w:rsidR="002E0ECD" w:rsidRDefault="002E0ECD" w:rsidP="00B6712D">
      <w:pPr>
        <w:spacing w:after="0" w:line="240" w:lineRule="auto"/>
        <w:rPr>
          <w:b/>
          <w:sz w:val="18"/>
        </w:rPr>
      </w:pPr>
    </w:p>
    <w:p w14:paraId="776EB368" w14:textId="77777777" w:rsidR="002E0ECD" w:rsidRDefault="002E0ECD" w:rsidP="00B6712D">
      <w:pPr>
        <w:spacing w:after="0" w:line="240" w:lineRule="auto"/>
        <w:rPr>
          <w:b/>
          <w:sz w:val="18"/>
        </w:rPr>
      </w:pPr>
    </w:p>
    <w:p w14:paraId="6CE59530" w14:textId="77777777" w:rsidR="00B6712D" w:rsidRDefault="001E3807" w:rsidP="00B6712D">
      <w:pPr>
        <w:spacing w:after="0" w:line="240" w:lineRule="auto"/>
        <w:jc w:val="both"/>
        <w:rPr>
          <w:b/>
        </w:rPr>
      </w:pPr>
      <w:r>
        <w:rPr>
          <w:b/>
        </w:rPr>
        <w:t>1</w:t>
      </w:r>
      <w:r w:rsidR="00E65326">
        <w:rPr>
          <w:b/>
        </w:rPr>
        <w:t>8</w:t>
      </w:r>
      <w:r w:rsidR="00B6712D">
        <w:rPr>
          <w:b/>
        </w:rPr>
        <w:t>.</w:t>
      </w:r>
      <w:r w:rsidR="00B6712D">
        <w:t xml:space="preserve"> </w:t>
      </w:r>
      <w:r w:rsidR="00B6712D">
        <w:rPr>
          <w:b/>
        </w:rPr>
        <w:t xml:space="preserve">Preadjudicación </w:t>
      </w:r>
    </w:p>
    <w:p w14:paraId="3E994EBE"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1A6EB60D" w14:textId="77777777" w:rsidR="00B6712D" w:rsidRDefault="00B6712D" w:rsidP="00B6712D">
      <w:pPr>
        <w:spacing w:after="0" w:line="240" w:lineRule="auto"/>
        <w:jc w:val="both"/>
      </w:pPr>
    </w:p>
    <w:p w14:paraId="244AE133" w14:textId="77777777" w:rsidR="00B6712D" w:rsidRDefault="001E3807" w:rsidP="00B6712D">
      <w:pPr>
        <w:spacing w:after="0" w:line="240" w:lineRule="auto"/>
        <w:jc w:val="both"/>
        <w:rPr>
          <w:b/>
        </w:rPr>
      </w:pPr>
      <w:r>
        <w:rPr>
          <w:b/>
        </w:rPr>
        <w:t>1</w:t>
      </w:r>
      <w:r w:rsidR="00E65326">
        <w:rPr>
          <w:b/>
        </w:rPr>
        <w:t>9</w:t>
      </w:r>
      <w:r w:rsidR="00B6712D">
        <w:rPr>
          <w:b/>
        </w:rPr>
        <w:t xml:space="preserve">. Exhibición del </w:t>
      </w:r>
      <w:r w:rsidR="00B63B77">
        <w:rPr>
          <w:b/>
        </w:rPr>
        <w:t>informe</w:t>
      </w:r>
      <w:r w:rsidR="00B6712D">
        <w:rPr>
          <w:b/>
        </w:rPr>
        <w:t xml:space="preserve"> de preadjudicación</w:t>
      </w:r>
    </w:p>
    <w:p w14:paraId="67AE1826"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1CE1539B" w14:textId="77777777" w:rsidR="00B6712D" w:rsidRDefault="00B6712D" w:rsidP="00B6712D">
      <w:pPr>
        <w:spacing w:after="0" w:line="240" w:lineRule="auto"/>
        <w:jc w:val="both"/>
        <w:rPr>
          <w:b/>
        </w:rPr>
      </w:pPr>
    </w:p>
    <w:p w14:paraId="0B512712" w14:textId="77777777" w:rsidR="000F1601" w:rsidRDefault="000F1601" w:rsidP="000F1601">
      <w:pPr>
        <w:spacing w:after="0" w:line="240" w:lineRule="auto"/>
        <w:jc w:val="both"/>
      </w:pPr>
      <w:bookmarkStart w:id="16" w:name="_Hlk130283801"/>
      <w:r>
        <w:t>Las preadjudicaciones serán consignadas en pizarra destinada a tal efecto, por el término de un día hábil para conocimiento de quienes hayan presentado ofertas</w:t>
      </w:r>
      <w:r w:rsidR="00326441">
        <w:t>,</w:t>
      </w:r>
      <w:r>
        <w:t xml:space="preserve"> en la Dirección General de Compras y Contrataciones, tercer piso, Centro Cívico, Santa Rosa, La Pampa. </w:t>
      </w:r>
    </w:p>
    <w:bookmarkEnd w:id="16"/>
    <w:p w14:paraId="43549523" w14:textId="77777777" w:rsidR="00B6712D" w:rsidRDefault="00B6712D" w:rsidP="00B6712D">
      <w:pPr>
        <w:spacing w:after="0" w:line="240" w:lineRule="auto"/>
        <w:jc w:val="both"/>
      </w:pPr>
    </w:p>
    <w:p w14:paraId="1EEA3104" w14:textId="77777777" w:rsidR="00B6712D" w:rsidRDefault="00E65326" w:rsidP="00B6712D">
      <w:pPr>
        <w:spacing w:after="0" w:line="240" w:lineRule="auto"/>
        <w:jc w:val="both"/>
        <w:rPr>
          <w:b/>
        </w:rPr>
      </w:pPr>
      <w:r>
        <w:rPr>
          <w:b/>
        </w:rPr>
        <w:t>20</w:t>
      </w:r>
      <w:r w:rsidR="00B6712D">
        <w:rPr>
          <w:b/>
        </w:rPr>
        <w:t xml:space="preserve">. Plazo para impugnación </w:t>
      </w:r>
    </w:p>
    <w:p w14:paraId="19671D01" w14:textId="77777777" w:rsidR="00B63B77" w:rsidRPr="00FD35D9" w:rsidRDefault="00B63B77" w:rsidP="00B63B77">
      <w:pPr>
        <w:spacing w:after="0" w:line="240" w:lineRule="auto"/>
        <w:jc w:val="both"/>
        <w:rPr>
          <w:color w:val="808080"/>
          <w:sz w:val="20"/>
          <w:szCs w:val="20"/>
        </w:rPr>
      </w:pPr>
      <w:bookmarkStart w:id="17" w:name="_Hlk107559745"/>
      <w:r w:rsidRPr="00FD35D9">
        <w:rPr>
          <w:color w:val="808080"/>
          <w:sz w:val="20"/>
          <w:szCs w:val="20"/>
        </w:rPr>
        <w:t>De acuerdo al artículo 61 del Reglamento de Contrataciones</w:t>
      </w:r>
    </w:p>
    <w:p w14:paraId="23D06BD5" w14:textId="77777777" w:rsidR="00674EE1" w:rsidRDefault="00674EE1" w:rsidP="00B63B77">
      <w:pPr>
        <w:spacing w:after="0" w:line="240" w:lineRule="auto"/>
        <w:jc w:val="both"/>
        <w:rPr>
          <w:sz w:val="20"/>
          <w:szCs w:val="20"/>
        </w:rPr>
      </w:pPr>
    </w:p>
    <w:bookmarkEnd w:id="17"/>
    <w:p w14:paraId="0DC59443" w14:textId="77777777" w:rsidR="000F1601" w:rsidRPr="00D714BD" w:rsidRDefault="000F1601" w:rsidP="000F1601">
      <w:pPr>
        <w:spacing w:after="0" w:line="240" w:lineRule="auto"/>
        <w:jc w:val="both"/>
        <w:rPr>
          <w:bCs/>
        </w:rPr>
      </w:pPr>
      <w:r>
        <w:rPr>
          <w:bCs/>
        </w:rPr>
        <w:t>Hasta el día hábil siguiente al de la publicación, quienes hayan realizado ofertas podrán formular impugnación fundada a la preadjudicación.</w:t>
      </w:r>
    </w:p>
    <w:p w14:paraId="6FD5858F" w14:textId="77777777" w:rsidR="00B6712D" w:rsidRDefault="00B6712D" w:rsidP="00B6712D">
      <w:pPr>
        <w:spacing w:after="0" w:line="240" w:lineRule="auto"/>
        <w:jc w:val="both"/>
        <w:rPr>
          <w:lang w:val="en-US"/>
        </w:rPr>
      </w:pPr>
    </w:p>
    <w:p w14:paraId="6D71BA21" w14:textId="28B7C222" w:rsidR="00121B75" w:rsidRPr="00B54D60" w:rsidRDefault="00121B75" w:rsidP="00D9789A">
      <w:pPr>
        <w:spacing w:after="0" w:line="240" w:lineRule="auto"/>
        <w:jc w:val="both"/>
        <w:rPr>
          <w:rFonts w:cs="Calibri"/>
          <w:lang w:val="en-US"/>
        </w:rPr>
      </w:pPr>
      <w:permStart w:id="2015505566" w:edGrp="everyone"/>
    </w:p>
    <w:permEnd w:id="2015505566"/>
    <w:p w14:paraId="3EFE7581" w14:textId="77777777" w:rsidR="00121B75" w:rsidRDefault="00121B75" w:rsidP="00B6712D">
      <w:pPr>
        <w:spacing w:after="0" w:line="240" w:lineRule="auto"/>
        <w:jc w:val="both"/>
        <w:rPr>
          <w:lang w:val="en-US"/>
        </w:rPr>
      </w:pPr>
    </w:p>
    <w:p w14:paraId="42EEB6E5" w14:textId="77777777" w:rsidR="007347F6" w:rsidRDefault="001E3807" w:rsidP="007347F6">
      <w:pPr>
        <w:spacing w:after="0" w:line="240" w:lineRule="auto"/>
        <w:jc w:val="both"/>
        <w:rPr>
          <w:b/>
        </w:rPr>
      </w:pPr>
      <w:r>
        <w:rPr>
          <w:b/>
        </w:rPr>
        <w:t>2</w:t>
      </w:r>
      <w:r w:rsidR="00E65326">
        <w:rPr>
          <w:b/>
        </w:rPr>
        <w:t>1</w:t>
      </w:r>
      <w:r w:rsidR="00B6712D">
        <w:rPr>
          <w:b/>
        </w:rPr>
        <w:t>.</w:t>
      </w:r>
      <w:r w:rsidR="00B6712D">
        <w:t xml:space="preserve"> </w:t>
      </w:r>
      <w:r w:rsidR="007347F6">
        <w:rPr>
          <w:b/>
        </w:rPr>
        <w:t>Adjudicación</w:t>
      </w:r>
    </w:p>
    <w:p w14:paraId="5AEB51A5"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10A81AB5" w14:textId="77777777" w:rsidR="007347F6" w:rsidRDefault="007347F6" w:rsidP="007347F6">
      <w:pPr>
        <w:spacing w:after="0" w:line="240" w:lineRule="auto"/>
        <w:jc w:val="both"/>
        <w:rPr>
          <w:b/>
        </w:rPr>
      </w:pPr>
    </w:p>
    <w:p w14:paraId="1C155D95" w14:textId="77777777" w:rsidR="000F1601" w:rsidRDefault="000F1601" w:rsidP="000F1601">
      <w:pPr>
        <w:spacing w:after="0" w:line="240" w:lineRule="auto"/>
        <w:jc w:val="both"/>
      </w:pPr>
      <w:bookmarkStart w:id="18"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8"/>
    <w:p w14:paraId="7AB3F012" w14:textId="77777777" w:rsidR="000F1601" w:rsidRDefault="000F1601" w:rsidP="00B6712D">
      <w:pPr>
        <w:spacing w:after="0" w:line="240" w:lineRule="auto"/>
        <w:jc w:val="both"/>
        <w:rPr>
          <w:b/>
          <w:bCs/>
        </w:rPr>
      </w:pPr>
    </w:p>
    <w:p w14:paraId="640DE5A9" w14:textId="77777777" w:rsidR="00B6712D" w:rsidRDefault="0051336B" w:rsidP="00B6712D">
      <w:pPr>
        <w:spacing w:after="0" w:line="240" w:lineRule="auto"/>
        <w:jc w:val="both"/>
        <w:rPr>
          <w:b/>
        </w:rPr>
      </w:pPr>
      <w:r w:rsidRPr="0051336B">
        <w:rPr>
          <w:b/>
          <w:bCs/>
        </w:rPr>
        <w:t>2</w:t>
      </w:r>
      <w:r w:rsidR="00E65326">
        <w:rPr>
          <w:b/>
          <w:bCs/>
        </w:rPr>
        <w:t>2</w:t>
      </w:r>
      <w:r w:rsidR="00B6712D">
        <w:rPr>
          <w:b/>
        </w:rPr>
        <w:t>. Invariabilidad de precios</w:t>
      </w:r>
      <w:r w:rsidR="005E4879">
        <w:rPr>
          <w:b/>
        </w:rPr>
        <w:t xml:space="preserve"> </w:t>
      </w:r>
      <w:bookmarkStart w:id="19" w:name="_Hlk128468799"/>
      <w:r w:rsidR="005E4879" w:rsidRPr="005E4879">
        <w:t>(Marcar lo que corresponda)</w:t>
      </w:r>
      <w:bookmarkEnd w:id="19"/>
    </w:p>
    <w:p w14:paraId="04307FCE"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53A3BB88"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20B446FF"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4B5E2500" w14:textId="77777777" w:rsidR="005E4879" w:rsidRPr="00FC1C94" w:rsidRDefault="005E4879" w:rsidP="00702D96">
            <w:pPr>
              <w:spacing w:after="0" w:line="276" w:lineRule="auto"/>
              <w:rPr>
                <w:sz w:val="20"/>
                <w:szCs w:val="20"/>
              </w:rPr>
            </w:pPr>
            <w:permStart w:id="1059024314" w:edGrp="everyone" w:colFirst="0" w:colLast="0"/>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75BE4D9C" w14:textId="77777777" w:rsidR="005E4879" w:rsidRDefault="005E4879" w:rsidP="00702D96">
            <w:pPr>
              <w:spacing w:after="0" w:line="276" w:lineRule="auto"/>
            </w:pPr>
            <w:r>
              <w:t>Los precios son invariables</w:t>
            </w:r>
          </w:p>
        </w:tc>
      </w:tr>
      <w:permEnd w:id="1059024314"/>
      <w:tr w:rsidR="005E4879" w14:paraId="22B173C5"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3F1458B6"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0A9C212D" w14:textId="77777777" w:rsidR="005E4879" w:rsidRDefault="005E4879" w:rsidP="00702D96">
            <w:pPr>
              <w:spacing w:after="0" w:line="276" w:lineRule="auto"/>
            </w:pPr>
          </w:p>
        </w:tc>
      </w:tr>
      <w:tr w:rsidR="005E4879" w14:paraId="37CEEB1B"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0CB31DCB" w14:textId="77777777" w:rsidR="005E4879" w:rsidRPr="00FC1C94" w:rsidRDefault="005E4879" w:rsidP="00702D96">
            <w:pPr>
              <w:spacing w:after="0" w:line="276" w:lineRule="auto"/>
              <w:rPr>
                <w:sz w:val="20"/>
                <w:szCs w:val="20"/>
              </w:rPr>
            </w:pPr>
            <w:permStart w:id="1115831644" w:edGrp="everyone" w:colFirst="0" w:colLast="0"/>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4E8AA453" w14:textId="77777777" w:rsidR="005E4879" w:rsidRDefault="005E4879" w:rsidP="00E51B03">
            <w:pPr>
              <w:spacing w:after="0" w:line="276" w:lineRule="auto"/>
            </w:pPr>
            <w:r>
              <w:t xml:space="preserve">Los precios se redeterminan </w:t>
            </w:r>
          </w:p>
        </w:tc>
      </w:tr>
      <w:permEnd w:id="1115831644"/>
    </w:tbl>
    <w:p w14:paraId="181E3451" w14:textId="77777777" w:rsidR="005E4879" w:rsidRDefault="005E4879" w:rsidP="00B6712D">
      <w:pPr>
        <w:spacing w:after="0" w:line="240" w:lineRule="auto"/>
        <w:jc w:val="both"/>
      </w:pPr>
    </w:p>
    <w:p w14:paraId="59C9C22B" w14:textId="77777777" w:rsidR="00253ACB" w:rsidRPr="00765760" w:rsidRDefault="00253ACB" w:rsidP="00253ACB">
      <w:pPr>
        <w:spacing w:after="0" w:line="240" w:lineRule="auto"/>
        <w:rPr>
          <w:color w:val="767171"/>
          <w:sz w:val="20"/>
          <w:szCs w:val="20"/>
        </w:rPr>
      </w:pPr>
      <w:r w:rsidRPr="00765760">
        <w:rPr>
          <w:color w:val="767171"/>
          <w:sz w:val="20"/>
          <w:szCs w:val="20"/>
        </w:rP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3ACB" w14:paraId="023BF6A5" w14:textId="77777777" w:rsidTr="00253ACB">
        <w:tc>
          <w:tcPr>
            <w:tcW w:w="9921" w:type="dxa"/>
            <w:tcBorders>
              <w:top w:val="single" w:sz="4" w:space="0" w:color="auto"/>
              <w:left w:val="single" w:sz="4" w:space="0" w:color="auto"/>
              <w:bottom w:val="single" w:sz="4" w:space="0" w:color="auto"/>
              <w:right w:val="single" w:sz="4" w:space="0" w:color="auto"/>
            </w:tcBorders>
            <w:hideMark/>
          </w:tcPr>
          <w:p w14:paraId="2C2AD50C" w14:textId="77777777" w:rsidR="00253ACB" w:rsidRDefault="00253ACB">
            <w:pPr>
              <w:spacing w:after="0" w:line="276" w:lineRule="auto"/>
            </w:pPr>
            <w:bookmarkStart w:id="20" w:name="_Hlk107480009"/>
            <w:permStart w:id="325201556" w:edGrp="everyone"/>
            <w:r>
              <w:rPr>
                <w:color w:val="FF0000"/>
              </w:rPr>
              <w:t xml:space="preserve">Ejemplo para el caso de ítems con </w:t>
            </w:r>
            <w:proofErr w:type="spellStart"/>
            <w:r>
              <w:rPr>
                <w:color w:val="FF0000"/>
              </w:rPr>
              <w:t>redeterminación</w:t>
            </w:r>
            <w:proofErr w:type="spellEnd"/>
            <w:r>
              <w:rPr>
                <w:color w:val="FF0000"/>
              </w:rPr>
              <w:t>:</w:t>
            </w:r>
            <w:r>
              <w:t xml:space="preserve"> Se pone en conocimiento de los oferentes que se encuentra vigente la Ley </w:t>
            </w:r>
            <w:proofErr w:type="spellStart"/>
            <w:r>
              <w:t>Nº</w:t>
            </w:r>
            <w:proofErr w:type="spellEnd"/>
            <w:r>
              <w:t xml:space="preserve"> 3105 y sus modificatorias, cuyo objeto es la posibilidad de </w:t>
            </w:r>
            <w:proofErr w:type="spellStart"/>
            <w:r>
              <w:t>redeterminar</w:t>
            </w:r>
            <w:proofErr w:type="spellEnd"/>
            <w:r>
              <w:t xml:space="preserve"> precios durante el transcurso de la contratación.</w:t>
            </w:r>
            <w:permEnd w:id="325201556"/>
          </w:p>
        </w:tc>
      </w:tr>
    </w:tbl>
    <w:p w14:paraId="5171BDC8" w14:textId="77777777" w:rsidR="00253ACB" w:rsidRDefault="00253ACB" w:rsidP="00253ACB">
      <w:pPr>
        <w:spacing w:after="0" w:line="276" w:lineRule="auto"/>
      </w:pPr>
      <w:permStart w:id="633159854" w:edGrp="everyone"/>
      <w:r>
        <w:rPr>
          <w:color w:val="FF0000"/>
        </w:rPr>
        <w:t>Ejemplo de redacción:</w:t>
      </w:r>
      <w:r>
        <w:t xml:space="preserve"> Los ítems sujetos a </w:t>
      </w:r>
      <w:proofErr w:type="spellStart"/>
      <w:r>
        <w:t>redeterminación</w:t>
      </w:r>
      <w:proofErr w:type="spellEnd"/>
      <w:r>
        <w:t xml:space="preserve"> de precios son los identificados por los números 1 a 5, 36 y 47.</w:t>
      </w:r>
      <w:bookmarkEnd w:id="20"/>
    </w:p>
    <w:permEnd w:id="633159854"/>
    <w:p w14:paraId="138A7116" w14:textId="77777777" w:rsidR="005C2509" w:rsidRPr="00E51B03" w:rsidRDefault="005C2509" w:rsidP="005C2509">
      <w:pPr>
        <w:spacing w:after="0" w:line="276" w:lineRule="auto"/>
      </w:pPr>
    </w:p>
    <w:p w14:paraId="412111CA" w14:textId="77777777" w:rsidR="00E51B03" w:rsidRPr="00E51B03" w:rsidRDefault="00E51B03" w:rsidP="00E51B03">
      <w:pPr>
        <w:spacing w:after="0" w:line="276" w:lineRule="auto"/>
      </w:pPr>
    </w:p>
    <w:p w14:paraId="271A9CB2" w14:textId="77777777" w:rsidR="00700E3A" w:rsidRDefault="009F5B31" w:rsidP="00700E3A">
      <w:pPr>
        <w:spacing w:after="0" w:line="240" w:lineRule="auto"/>
        <w:rPr>
          <w:b/>
        </w:rPr>
      </w:pPr>
      <w:r>
        <w:rPr>
          <w:b/>
        </w:rPr>
        <w:t>2</w:t>
      </w:r>
      <w:r w:rsidR="00E65326">
        <w:rPr>
          <w:b/>
        </w:rPr>
        <w:t>3</w:t>
      </w:r>
      <w:r w:rsidR="00B6712D">
        <w:rPr>
          <w:b/>
        </w:rPr>
        <w:t xml:space="preserve">. </w:t>
      </w:r>
      <w:bookmarkStart w:id="21" w:name="_Hlk149044113"/>
      <w:r w:rsidR="00700E3A">
        <w:rPr>
          <w:b/>
        </w:rPr>
        <w:t>Perfeccionamiento de la Relación Contractual</w:t>
      </w:r>
    </w:p>
    <w:p w14:paraId="42FA2F95" w14:textId="77777777" w:rsidR="00700E3A" w:rsidRPr="00FA4C93" w:rsidRDefault="00700E3A" w:rsidP="00700E3A">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13003595" w14:textId="77777777" w:rsidR="00700E3A" w:rsidRDefault="00700E3A" w:rsidP="00700E3A">
      <w:pPr>
        <w:spacing w:after="0" w:line="240" w:lineRule="auto"/>
        <w:rPr>
          <w:b/>
        </w:rPr>
      </w:pPr>
    </w:p>
    <w:p w14:paraId="0A144F6D" w14:textId="77777777" w:rsidR="00700E3A" w:rsidRDefault="00700E3A" w:rsidP="00700E3A">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21"/>
    <w:p w14:paraId="79EF7FDD" w14:textId="4837C836" w:rsidR="00B6712D" w:rsidRDefault="00B6712D" w:rsidP="00700E3A">
      <w:pPr>
        <w:spacing w:after="0" w:line="240" w:lineRule="auto"/>
      </w:pPr>
    </w:p>
    <w:p w14:paraId="74092E74" w14:textId="3381E441" w:rsidR="00B6712D" w:rsidRDefault="00B819FD" w:rsidP="00B6712D">
      <w:pPr>
        <w:spacing w:after="0" w:line="240" w:lineRule="auto"/>
        <w:rPr>
          <w:b/>
        </w:rPr>
      </w:pPr>
      <w:r>
        <w:rPr>
          <w:b/>
        </w:rPr>
        <w:t>2</w:t>
      </w:r>
      <w:r w:rsidR="00E65326">
        <w:rPr>
          <w:b/>
        </w:rPr>
        <w:t>4</w:t>
      </w:r>
      <w:r w:rsidR="00B6712D">
        <w:rPr>
          <w:b/>
        </w:rPr>
        <w:t>. Recepción Definitiva</w:t>
      </w:r>
      <w:r w:rsidR="00CC4A9D">
        <w:rPr>
          <w:b/>
        </w:rPr>
        <w:t xml:space="preserve"> y forma de entrega de los bienes o de prestación de los servicios</w:t>
      </w:r>
    </w:p>
    <w:p w14:paraId="1F480B02" w14:textId="77777777" w:rsidR="0024088A" w:rsidRDefault="0024088A" w:rsidP="00B6712D">
      <w:pPr>
        <w:spacing w:after="0" w:line="240" w:lineRule="auto"/>
        <w:jc w:val="both"/>
      </w:pPr>
    </w:p>
    <w:p w14:paraId="29DB10BD"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19591B1F" w14:textId="0D3C8F29" w:rsidR="00B6712D" w:rsidRDefault="00CC4A9D" w:rsidP="00403E04">
      <w:pPr>
        <w:spacing w:after="0" w:line="240" w:lineRule="auto"/>
        <w:jc w:val="both"/>
        <w:rPr>
          <w:sz w:val="18"/>
        </w:rPr>
      </w:pPr>
      <w:permStart w:id="362108406" w:edGrp="everyone"/>
      <w:r w:rsidRPr="00CC4A9D">
        <w:rPr>
          <w:color w:val="FF0000"/>
          <w:sz w:val="20"/>
          <w:szCs w:val="20"/>
        </w:rPr>
        <w:t>Ejemplo de redacción para la forma de entrega de los bienes</w:t>
      </w:r>
      <w:r>
        <w:rPr>
          <w:color w:val="FF0000"/>
          <w:sz w:val="20"/>
          <w:szCs w:val="20"/>
        </w:rPr>
        <w:t xml:space="preserve"> o de prestación de los servicios</w:t>
      </w:r>
      <w:r w:rsidRPr="00CC4A9D">
        <w:rPr>
          <w:color w:val="FF0000"/>
          <w:sz w:val="20"/>
          <w:szCs w:val="20"/>
        </w:rPr>
        <w:t xml:space="preserve">: </w:t>
      </w:r>
      <w:r w:rsidRPr="00CC4A9D">
        <w:rPr>
          <w:sz w:val="20"/>
          <w:szCs w:val="20"/>
        </w:rPr>
        <w:t>La entrega de los bienes se realizará en forma diaria o semanal, según requerimientos de la autoridad.</w:t>
      </w:r>
    </w:p>
    <w:permEnd w:id="362108406"/>
    <w:p w14:paraId="0A722711" w14:textId="77777777" w:rsidR="00B6712D" w:rsidRPr="00FC1C94" w:rsidRDefault="004426EE" w:rsidP="00B6712D">
      <w:pPr>
        <w:spacing w:after="0" w:line="240" w:lineRule="auto"/>
        <w:rPr>
          <w:sz w:val="20"/>
          <w:szCs w:val="20"/>
        </w:rPr>
      </w:pPr>
      <w:r>
        <w:rPr>
          <w:sz w:val="20"/>
          <w:szCs w:val="20"/>
        </w:rPr>
        <w:t xml:space="preserve"> </w:t>
      </w:r>
    </w:p>
    <w:p w14:paraId="5851707F" w14:textId="77777777" w:rsidR="00121B75" w:rsidRDefault="00121B75" w:rsidP="00B6712D">
      <w:pPr>
        <w:spacing w:after="0" w:line="240" w:lineRule="auto"/>
        <w:rPr>
          <w:sz w:val="18"/>
        </w:rPr>
      </w:pPr>
    </w:p>
    <w:p w14:paraId="47559041" w14:textId="77777777" w:rsidR="00055B30" w:rsidRDefault="00484D90" w:rsidP="00055B30">
      <w:pPr>
        <w:spacing w:after="0" w:line="240" w:lineRule="auto"/>
        <w:rPr>
          <w:b/>
        </w:rPr>
      </w:pPr>
      <w:r>
        <w:rPr>
          <w:b/>
        </w:rPr>
        <w:t>2</w:t>
      </w:r>
      <w:r w:rsidR="00E65326">
        <w:rPr>
          <w:b/>
        </w:rPr>
        <w:t>5</w:t>
      </w:r>
      <w:r w:rsidR="00234422">
        <w:rPr>
          <w:b/>
        </w:rPr>
        <w:t xml:space="preserve">. </w:t>
      </w:r>
      <w:bookmarkStart w:id="22" w:name="_Hlk118098898"/>
      <w:r w:rsidR="00055B30">
        <w:rPr>
          <w:b/>
        </w:rPr>
        <w:t>Forma de Pago</w:t>
      </w:r>
    </w:p>
    <w:bookmarkEnd w:id="22"/>
    <w:p w14:paraId="388BD878" w14:textId="77777777" w:rsidR="00234422" w:rsidRPr="00B54D60" w:rsidRDefault="00840BBE" w:rsidP="00055B30">
      <w:pPr>
        <w:spacing w:after="0" w:line="240" w:lineRule="auto"/>
        <w:rPr>
          <w:rFonts w:cs="Calibri"/>
        </w:rPr>
      </w:pPr>
      <w:r>
        <w:rPr>
          <w:rFonts w:cs="Calibri"/>
        </w:rPr>
        <w:t xml:space="preserve">De acuerdo a lo establecido en el Modelo de Contrato de </w:t>
      </w:r>
      <w:r w:rsidR="004426EE">
        <w:rPr>
          <w:rFonts w:cs="Calibri"/>
        </w:rPr>
        <w:t>Suministros/</w:t>
      </w:r>
      <w:r>
        <w:rPr>
          <w:rFonts w:cs="Calibri"/>
        </w:rPr>
        <w:t>Prestación de Servicios adjunto</w:t>
      </w:r>
      <w:r w:rsidR="000D7F53">
        <w:rPr>
          <w:rFonts w:cs="Calibri"/>
        </w:rPr>
        <w:t xml:space="preserve"> al presente pliego.</w:t>
      </w:r>
    </w:p>
    <w:p w14:paraId="67FC38AD" w14:textId="77777777" w:rsidR="0024088A" w:rsidRDefault="0024088A" w:rsidP="00055B30">
      <w:pPr>
        <w:spacing w:after="0" w:line="240" w:lineRule="auto"/>
        <w:rPr>
          <w:b/>
        </w:rPr>
      </w:pPr>
    </w:p>
    <w:p w14:paraId="521730D2" w14:textId="77777777" w:rsidR="00B6712D" w:rsidRDefault="001E3807" w:rsidP="00B6712D">
      <w:pPr>
        <w:spacing w:after="0" w:line="240" w:lineRule="auto"/>
        <w:rPr>
          <w:b/>
        </w:rPr>
      </w:pPr>
      <w:r>
        <w:rPr>
          <w:b/>
        </w:rPr>
        <w:t>2</w:t>
      </w:r>
      <w:r w:rsidR="00E65326">
        <w:rPr>
          <w:b/>
        </w:rPr>
        <w:t>6</w:t>
      </w:r>
      <w:r w:rsidR="00B6712D">
        <w:rPr>
          <w:b/>
        </w:rPr>
        <w:t>. Incumplimientos y Penalidades</w:t>
      </w:r>
    </w:p>
    <w:p w14:paraId="5EB8B850"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6F83AE99" w14:textId="77777777" w:rsidR="00B6712D" w:rsidRPr="00B6712D" w:rsidRDefault="00B6712D" w:rsidP="00B6712D">
      <w:pPr>
        <w:spacing w:after="0" w:line="240" w:lineRule="auto"/>
        <w:rPr>
          <w:b/>
          <w:sz w:val="8"/>
          <w:szCs w:val="8"/>
        </w:rPr>
      </w:pPr>
    </w:p>
    <w:p w14:paraId="29CE261C" w14:textId="77777777" w:rsidR="00B6712D" w:rsidRPr="00B6712D" w:rsidRDefault="00B6712D" w:rsidP="00B6712D">
      <w:pPr>
        <w:spacing w:after="0" w:line="240" w:lineRule="auto"/>
        <w:rPr>
          <w:sz w:val="8"/>
          <w:szCs w:val="8"/>
        </w:rPr>
      </w:pPr>
    </w:p>
    <w:p w14:paraId="6498C3D5" w14:textId="77777777" w:rsidR="00B6712D" w:rsidRDefault="001E3807" w:rsidP="00B6712D">
      <w:pPr>
        <w:spacing w:after="0" w:line="240" w:lineRule="auto"/>
        <w:rPr>
          <w:b/>
        </w:rPr>
      </w:pPr>
      <w:r>
        <w:rPr>
          <w:b/>
        </w:rPr>
        <w:t>2</w:t>
      </w:r>
      <w:r w:rsidR="00E65326">
        <w:rPr>
          <w:b/>
        </w:rPr>
        <w:t>7</w:t>
      </w:r>
      <w:r w:rsidR="00B6712D">
        <w:rPr>
          <w:b/>
        </w:rPr>
        <w:t>. Transferencia del Contrato</w:t>
      </w:r>
    </w:p>
    <w:p w14:paraId="539D9D0B"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609E8097" w14:textId="77777777" w:rsidR="00C97522" w:rsidRDefault="00C97522" w:rsidP="00B6712D">
      <w:pPr>
        <w:spacing w:after="0" w:line="240" w:lineRule="auto"/>
        <w:rPr>
          <w:b/>
        </w:rPr>
      </w:pPr>
    </w:p>
    <w:p w14:paraId="3BB819A4" w14:textId="77777777" w:rsidR="00B6712D" w:rsidRDefault="00B6712D" w:rsidP="00B6712D">
      <w:pPr>
        <w:spacing w:after="0" w:line="240" w:lineRule="auto"/>
        <w:jc w:val="both"/>
      </w:pPr>
      <w:r>
        <w:t>El contrato no podrá ser transferido ni cedido por l</w:t>
      </w:r>
      <w:r w:rsidR="000F1601">
        <w:t>a</w:t>
      </w:r>
      <w:r>
        <w:t xml:space="preserve"> </w:t>
      </w:r>
      <w:r w:rsidR="000F1601">
        <w:t xml:space="preserve">firma </w:t>
      </w:r>
      <w:r>
        <w:t>adjudicatari</w:t>
      </w:r>
      <w:r w:rsidR="000F1601">
        <w:t>a</w:t>
      </w:r>
      <w:r>
        <w:t xml:space="preserve"> sin la previa anuencia de la autoridad competente.</w:t>
      </w:r>
    </w:p>
    <w:p w14:paraId="20BC7AED" w14:textId="77777777" w:rsidR="00B6712D" w:rsidRPr="00B6712D" w:rsidRDefault="00B6712D" w:rsidP="00B6712D">
      <w:pPr>
        <w:spacing w:after="0" w:line="240" w:lineRule="auto"/>
        <w:jc w:val="both"/>
        <w:rPr>
          <w:sz w:val="8"/>
          <w:szCs w:val="8"/>
        </w:rPr>
      </w:pPr>
    </w:p>
    <w:p w14:paraId="79C4A179" w14:textId="77777777" w:rsidR="00F71F62" w:rsidRDefault="00F71F62" w:rsidP="00C23278">
      <w:pPr>
        <w:spacing w:after="0" w:line="240" w:lineRule="auto"/>
        <w:jc w:val="both"/>
        <w:rPr>
          <w:b/>
        </w:rPr>
      </w:pPr>
    </w:p>
    <w:p w14:paraId="077394D3" w14:textId="77777777" w:rsidR="00B6712D" w:rsidRDefault="001E3807" w:rsidP="00C23278">
      <w:pPr>
        <w:spacing w:after="0" w:line="240" w:lineRule="auto"/>
        <w:jc w:val="both"/>
        <w:rPr>
          <w:b/>
        </w:rPr>
      </w:pPr>
      <w:r>
        <w:rPr>
          <w:b/>
        </w:rPr>
        <w:t>2</w:t>
      </w:r>
      <w:r w:rsidR="00E65326">
        <w:rPr>
          <w:b/>
        </w:rPr>
        <w:t>8</w:t>
      </w:r>
      <w:r w:rsidR="00B6712D" w:rsidRPr="00702D96">
        <w:rPr>
          <w:b/>
        </w:rPr>
        <w:t xml:space="preserve">. Compre </w:t>
      </w:r>
      <w:r w:rsidR="00C23278" w:rsidRPr="00702D96">
        <w:rPr>
          <w:b/>
        </w:rPr>
        <w:t>Pampea</w:t>
      </w:r>
      <w:r w:rsidR="00B6712D" w:rsidRPr="00702D96">
        <w:rPr>
          <w:b/>
        </w:rPr>
        <w:t>no</w:t>
      </w:r>
    </w:p>
    <w:p w14:paraId="78210B7C" w14:textId="77777777" w:rsidR="0024088A" w:rsidRPr="00702D96" w:rsidRDefault="0024088A" w:rsidP="00C23278">
      <w:pPr>
        <w:spacing w:after="0" w:line="240" w:lineRule="auto"/>
        <w:jc w:val="both"/>
        <w:rPr>
          <w:b/>
        </w:rPr>
      </w:pPr>
    </w:p>
    <w:p w14:paraId="26C29407" w14:textId="77777777" w:rsidR="00B6712D" w:rsidRPr="00702D96" w:rsidRDefault="00B6712D" w:rsidP="00C23278">
      <w:pPr>
        <w:spacing w:after="0" w:line="240" w:lineRule="auto"/>
        <w:jc w:val="both"/>
      </w:pPr>
      <w:r w:rsidRPr="00702D96">
        <w:t xml:space="preserve">De acuerdo a lo estatuido por Ley </w:t>
      </w:r>
      <w:r w:rsidR="00C23278" w:rsidRPr="00702D96">
        <w:t>N° 1863, prorrogada por Ley N° 2000, l</w:t>
      </w:r>
      <w:r w:rsidR="00D429E2">
        <w:t>as firmas inscriptas</w:t>
      </w:r>
      <w:r w:rsidR="00C23278" w:rsidRPr="00702D96">
        <w:t xml:space="preserve"> en el Registro de Producto Pampeano y de Proveedor Pampeano tendrán los beneficios establecidos en su artículo 6°:</w:t>
      </w:r>
    </w:p>
    <w:p w14:paraId="11B58D50" w14:textId="77777777" w:rsidR="00B6712D" w:rsidRPr="00702D96" w:rsidRDefault="00B6712D" w:rsidP="00C23278">
      <w:pPr>
        <w:spacing w:after="0" w:line="240" w:lineRule="auto"/>
        <w:jc w:val="both"/>
      </w:pPr>
    </w:p>
    <w:p w14:paraId="7CFAF573"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42A7303E"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22F290EB"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4EAE4B68"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0F8FABED" w14:textId="77777777" w:rsidR="00C97522" w:rsidRPr="001F5A28" w:rsidRDefault="00C97522" w:rsidP="00121B75">
      <w:pPr>
        <w:spacing w:after="0" w:line="240" w:lineRule="auto"/>
        <w:jc w:val="center"/>
        <w:rPr>
          <w:rFonts w:cs="Verdana"/>
          <w:b/>
          <w:bCs/>
        </w:rPr>
      </w:pPr>
    </w:p>
    <w:p w14:paraId="15C36018" w14:textId="77777777" w:rsidR="00AF783F" w:rsidRDefault="00AF783F" w:rsidP="00AF783F">
      <w:pPr>
        <w:widowControl w:val="0"/>
        <w:rPr>
          <w:rFonts w:cs="Calibri"/>
          <w:b/>
          <w:bCs/>
          <w:snapToGrid w:val="0"/>
          <w:sz w:val="28"/>
          <w:szCs w:val="28"/>
        </w:rPr>
      </w:pPr>
      <w:r>
        <w:rPr>
          <w:rFonts w:cs="Verdana"/>
          <w:b/>
          <w:bCs/>
        </w:rPr>
        <w:br w:type="page"/>
      </w:r>
      <w:bookmarkStart w:id="23" w:name="_Hlk132279479"/>
      <w:r w:rsidRPr="00AF783F">
        <w:rPr>
          <w:rFonts w:cs="Calibri"/>
          <w:b/>
          <w:bCs/>
          <w:snapToGrid w:val="0"/>
          <w:sz w:val="28"/>
          <w:szCs w:val="28"/>
        </w:rPr>
        <w:lastRenderedPageBreak/>
        <w:t xml:space="preserve">EXPEDIENTE Nº </w:t>
      </w:r>
      <w:permStart w:id="444299389" w:edGrp="everyone"/>
      <w:r w:rsidR="003855B0">
        <w:rPr>
          <w:rFonts w:cs="Calibri"/>
          <w:b/>
          <w:bCs/>
          <w:snapToGrid w:val="0"/>
          <w:sz w:val="28"/>
          <w:szCs w:val="28"/>
        </w:rPr>
        <w:t xml:space="preserve">   </w:t>
      </w:r>
      <w:permEnd w:id="444299389"/>
      <w:r w:rsidR="003855B0">
        <w:rPr>
          <w:rFonts w:cs="Calibri"/>
          <w:b/>
          <w:bCs/>
          <w:snapToGrid w:val="0"/>
          <w:sz w:val="28"/>
          <w:szCs w:val="28"/>
        </w:rPr>
        <w:t>/</w:t>
      </w:r>
      <w:permStart w:id="1587681506" w:edGrp="everyone"/>
    </w:p>
    <w:bookmarkEnd w:id="23"/>
    <w:permEnd w:id="1587681506"/>
    <w:p w14:paraId="034A26A7" w14:textId="77777777" w:rsidR="003855B0" w:rsidRPr="00AF783F" w:rsidRDefault="003855B0" w:rsidP="00AF783F">
      <w:pPr>
        <w:widowControl w:val="0"/>
        <w:rPr>
          <w:rFonts w:cs="Calibri"/>
          <w:b/>
          <w:bCs/>
          <w:i/>
          <w:iCs/>
          <w:snapToGrid w:val="0"/>
          <w:sz w:val="28"/>
          <w:szCs w:val="28"/>
        </w:rPr>
      </w:pPr>
    </w:p>
    <w:p w14:paraId="4EB99568" w14:textId="31B499D4"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403E04">
        <w:rPr>
          <w:rFonts w:cs="Calibri"/>
          <w:b/>
          <w:bCs/>
          <w:snapToGrid w:val="0"/>
          <w:sz w:val="28"/>
          <w:szCs w:val="28"/>
        </w:rPr>
        <w:t xml:space="preserve"> </w:t>
      </w:r>
      <w:permStart w:id="1302279560" w:edGrp="everyone"/>
      <w:r w:rsidR="00403E04">
        <w:rPr>
          <w:rFonts w:cs="Calibri"/>
          <w:b/>
          <w:bCs/>
          <w:snapToGrid w:val="0"/>
          <w:sz w:val="28"/>
          <w:szCs w:val="28"/>
        </w:rPr>
        <w:t xml:space="preserve">          </w:t>
      </w:r>
      <w:permEnd w:id="1302279560"/>
      <w:r w:rsidR="00403E04">
        <w:rPr>
          <w:rFonts w:cs="Calibri"/>
          <w:b/>
          <w:bCs/>
          <w:snapToGrid w:val="0"/>
          <w:sz w:val="28"/>
          <w:szCs w:val="28"/>
        </w:rPr>
        <w:t xml:space="preserve"> </w:t>
      </w:r>
      <w:r w:rsidR="00AF783F" w:rsidRPr="00AF783F">
        <w:rPr>
          <w:rFonts w:cs="Calibri"/>
          <w:b/>
          <w:bCs/>
          <w:snapToGrid w:val="0"/>
          <w:sz w:val="28"/>
          <w:szCs w:val="28"/>
        </w:rPr>
        <w:t xml:space="preserve">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40A58E3A" w14:textId="77777777" w:rsidR="00AF783F" w:rsidRPr="00AF783F" w:rsidRDefault="00AF783F" w:rsidP="00AF783F">
      <w:pPr>
        <w:widowControl w:val="0"/>
        <w:rPr>
          <w:rFonts w:cs="Calibri"/>
          <w:snapToGrid w:val="0"/>
          <w:sz w:val="28"/>
          <w:szCs w:val="28"/>
        </w:rPr>
      </w:pPr>
    </w:p>
    <w:p w14:paraId="2A4E1094" w14:textId="77777777" w:rsidR="00AF783F" w:rsidRPr="00AF783F" w:rsidRDefault="00AF783F" w:rsidP="00AF783F">
      <w:pPr>
        <w:widowControl w:val="0"/>
        <w:jc w:val="both"/>
        <w:rPr>
          <w:rFonts w:cs="Calibri"/>
          <w:snapToGrid w:val="0"/>
          <w:sz w:val="28"/>
          <w:szCs w:val="28"/>
        </w:rPr>
      </w:pPr>
    </w:p>
    <w:p w14:paraId="0FDEB883" w14:textId="77777777" w:rsidR="00AF783F" w:rsidRPr="00AF783F" w:rsidRDefault="00AF783F" w:rsidP="00AF783F">
      <w:pPr>
        <w:widowControl w:val="0"/>
        <w:jc w:val="both"/>
        <w:rPr>
          <w:rFonts w:cs="Calibri"/>
          <w:snapToGrid w:val="0"/>
          <w:sz w:val="28"/>
          <w:szCs w:val="28"/>
        </w:rPr>
      </w:pPr>
    </w:p>
    <w:p w14:paraId="6E593CA6"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70789BF2" w14:textId="77777777" w:rsidR="00AF783F" w:rsidRPr="00AF783F" w:rsidRDefault="00AF783F" w:rsidP="00AF783F">
      <w:pPr>
        <w:widowControl w:val="0"/>
        <w:jc w:val="center"/>
        <w:rPr>
          <w:rFonts w:cs="Calibri"/>
          <w:b/>
          <w:bCs/>
          <w:snapToGrid w:val="0"/>
          <w:sz w:val="28"/>
          <w:szCs w:val="28"/>
          <w:u w:val="single"/>
        </w:rPr>
      </w:pPr>
    </w:p>
    <w:p w14:paraId="5E0385A1"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482A4EEC" w14:textId="77777777" w:rsidR="00AF783F" w:rsidRPr="00AF783F" w:rsidRDefault="00AF783F" w:rsidP="00AF783F">
      <w:pPr>
        <w:widowControl w:val="0"/>
        <w:jc w:val="both"/>
        <w:rPr>
          <w:rFonts w:cs="Calibri"/>
          <w:snapToGrid w:val="0"/>
          <w:sz w:val="28"/>
          <w:szCs w:val="28"/>
        </w:rPr>
      </w:pPr>
    </w:p>
    <w:p w14:paraId="1A22A0FC" w14:textId="77777777" w:rsidR="00AF783F" w:rsidRPr="00AF783F" w:rsidRDefault="00AF783F" w:rsidP="00AF783F">
      <w:pPr>
        <w:widowControl w:val="0"/>
        <w:ind w:left="1134" w:right="1134"/>
        <w:jc w:val="both"/>
        <w:rPr>
          <w:rFonts w:cs="Calibri"/>
          <w:b/>
          <w:bCs/>
          <w:snapToGrid w:val="0"/>
          <w:sz w:val="28"/>
          <w:szCs w:val="28"/>
        </w:rPr>
      </w:pPr>
    </w:p>
    <w:p w14:paraId="3D869094" w14:textId="77777777" w:rsidR="00AF783F" w:rsidRPr="00AF783F" w:rsidRDefault="00AF783F" w:rsidP="00AF783F">
      <w:pPr>
        <w:widowControl w:val="0"/>
        <w:ind w:left="1134" w:right="1134"/>
        <w:jc w:val="both"/>
        <w:rPr>
          <w:rFonts w:cs="Calibri"/>
          <w:b/>
          <w:bCs/>
          <w:snapToGrid w:val="0"/>
          <w:sz w:val="28"/>
          <w:szCs w:val="28"/>
        </w:rPr>
      </w:pPr>
    </w:p>
    <w:p w14:paraId="6E655DF9"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41D2FBFD" w14:textId="77777777" w:rsidR="00AF783F" w:rsidRDefault="00AF783F" w:rsidP="00AF783F">
      <w:pPr>
        <w:widowControl w:val="0"/>
        <w:jc w:val="both"/>
        <w:rPr>
          <w:rFonts w:ascii="Verdana" w:hAnsi="Verdana" w:cs="Verdana"/>
          <w:snapToGrid w:val="0"/>
          <w:sz w:val="24"/>
          <w:szCs w:val="24"/>
        </w:rPr>
      </w:pPr>
    </w:p>
    <w:p w14:paraId="5619ED5A" w14:textId="77777777" w:rsidR="00AF783F" w:rsidRDefault="00AF783F" w:rsidP="00AF783F">
      <w:pPr>
        <w:widowControl w:val="0"/>
        <w:jc w:val="both"/>
        <w:rPr>
          <w:rFonts w:ascii="Verdana" w:hAnsi="Verdana" w:cs="Verdana"/>
          <w:snapToGrid w:val="0"/>
          <w:sz w:val="24"/>
          <w:szCs w:val="24"/>
        </w:rPr>
      </w:pPr>
    </w:p>
    <w:p w14:paraId="3BB38ABC"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permStart w:id="1639281774" w:edGrp="everyone"/>
      <w:r w:rsidR="003855B0">
        <w:rPr>
          <w:rFonts w:cs="Calibri"/>
          <w:b/>
          <w:bCs/>
          <w:snapToGrid w:val="0"/>
          <w:sz w:val="28"/>
          <w:szCs w:val="28"/>
        </w:rPr>
        <w:t xml:space="preserve">     </w:t>
      </w:r>
      <w:permEnd w:id="1639281774"/>
      <w:r w:rsidRPr="00AF783F">
        <w:rPr>
          <w:rFonts w:cs="Calibri"/>
          <w:b/>
          <w:bCs/>
          <w:snapToGrid w:val="0"/>
          <w:sz w:val="28"/>
          <w:szCs w:val="28"/>
        </w:rPr>
        <w:t>/</w:t>
      </w:r>
      <w:permStart w:id="1707028712" w:edGrp="everyone"/>
    </w:p>
    <w:permEnd w:id="1707028712"/>
    <w:p w14:paraId="71DE1D7E" w14:textId="15338481"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 xml:space="preserve">LICITACION </w:t>
      </w:r>
      <w:permStart w:id="510144191" w:edGrp="everyone"/>
      <w:r w:rsidR="00403E04">
        <w:rPr>
          <w:rFonts w:cs="Calibri"/>
          <w:b/>
          <w:bCs/>
          <w:snapToGrid w:val="0"/>
          <w:sz w:val="28"/>
          <w:szCs w:val="28"/>
        </w:rPr>
        <w:t xml:space="preserve">        </w:t>
      </w:r>
      <w:permEnd w:id="510144191"/>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711E6AC0"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36F22AE2"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0363DF92"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298491BF"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5DD81E95" w14:textId="77777777" w:rsidR="00AF783F" w:rsidRPr="00AF783F" w:rsidRDefault="00AF783F" w:rsidP="00AF783F">
      <w:pPr>
        <w:widowControl w:val="0"/>
        <w:rPr>
          <w:rFonts w:cs="Calibri"/>
          <w:snapToGrid w:val="0"/>
          <w:sz w:val="28"/>
          <w:szCs w:val="28"/>
        </w:rPr>
      </w:pPr>
    </w:p>
    <w:p w14:paraId="471A1DEF"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4FFB3191"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72A9560C"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65570A69"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57374851"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7EDE3406" w14:textId="77777777" w:rsidR="00AF783F" w:rsidRPr="00AF783F" w:rsidRDefault="00AF783F" w:rsidP="00AF783F">
      <w:pPr>
        <w:widowControl w:val="0"/>
        <w:rPr>
          <w:rFonts w:cs="Calibri"/>
          <w:snapToGrid w:val="0"/>
          <w:sz w:val="28"/>
          <w:szCs w:val="28"/>
        </w:rPr>
      </w:pPr>
    </w:p>
    <w:p w14:paraId="2D7EB9E6" w14:textId="77777777" w:rsidR="00AF783F" w:rsidRPr="00AF783F" w:rsidRDefault="00AF783F" w:rsidP="00AF783F">
      <w:pPr>
        <w:widowControl w:val="0"/>
        <w:rPr>
          <w:rFonts w:cs="Calibri"/>
          <w:snapToGrid w:val="0"/>
          <w:sz w:val="28"/>
          <w:szCs w:val="28"/>
        </w:rPr>
      </w:pPr>
    </w:p>
    <w:p w14:paraId="71AE7FCC"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4E69ADBE"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473B3CF2" w14:textId="77777777" w:rsidR="00AF783F" w:rsidRPr="00AF783F" w:rsidRDefault="00AF783F" w:rsidP="00AF783F">
      <w:pPr>
        <w:widowControl w:val="0"/>
        <w:rPr>
          <w:rFonts w:cs="Calibri"/>
          <w:snapToGrid w:val="0"/>
          <w:sz w:val="28"/>
          <w:szCs w:val="28"/>
        </w:rPr>
      </w:pPr>
    </w:p>
    <w:p w14:paraId="469DF178" w14:textId="77777777" w:rsidR="00AF783F" w:rsidRPr="00AF783F" w:rsidRDefault="00AF783F" w:rsidP="00AF783F">
      <w:pPr>
        <w:widowControl w:val="0"/>
        <w:rPr>
          <w:rFonts w:cs="Calibri"/>
          <w:snapToGrid w:val="0"/>
          <w:sz w:val="28"/>
          <w:szCs w:val="28"/>
        </w:rPr>
      </w:pPr>
    </w:p>
    <w:p w14:paraId="34457577" w14:textId="77777777" w:rsidR="00AF783F" w:rsidRPr="00AF783F" w:rsidRDefault="00AF783F" w:rsidP="00AF783F">
      <w:pPr>
        <w:widowControl w:val="0"/>
        <w:rPr>
          <w:rFonts w:cs="Calibri"/>
          <w:snapToGrid w:val="0"/>
          <w:sz w:val="28"/>
          <w:szCs w:val="28"/>
        </w:rPr>
      </w:pPr>
    </w:p>
    <w:p w14:paraId="67B82D25" w14:textId="77777777" w:rsidR="00AF783F" w:rsidRPr="00AF783F" w:rsidRDefault="00AF783F" w:rsidP="00AF783F">
      <w:pPr>
        <w:widowControl w:val="0"/>
        <w:rPr>
          <w:rFonts w:cs="Calibri"/>
          <w:snapToGrid w:val="0"/>
          <w:sz w:val="28"/>
          <w:szCs w:val="28"/>
        </w:rPr>
      </w:pPr>
    </w:p>
    <w:p w14:paraId="1FA8D942"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6E28AB" w:rsidRPr="00FA135A">
        <w:rPr>
          <w:rFonts w:cs="Calibri"/>
          <w:snapToGrid w:val="0"/>
        </w:rPr>
        <w:t xml:space="preserve">Deberán presentar el Anexo II - AUTORIZACION, </w:t>
      </w:r>
      <w:r w:rsidR="006E28AB">
        <w:rPr>
          <w:rFonts w:cs="Calibri"/>
          <w:snapToGrid w:val="0"/>
        </w:rPr>
        <w:t>la totalidad de los integrantes del órgano directivo</w:t>
      </w:r>
      <w:r w:rsidR="006E28AB"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10"/>
      <w:footerReference w:type="default" r:id="rId11"/>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13FC" w14:textId="77777777" w:rsidR="00765760" w:rsidRDefault="00765760" w:rsidP="00406D04">
      <w:pPr>
        <w:spacing w:after="0" w:line="240" w:lineRule="auto"/>
      </w:pPr>
      <w:r>
        <w:separator/>
      </w:r>
    </w:p>
  </w:endnote>
  <w:endnote w:type="continuationSeparator" w:id="0">
    <w:p w14:paraId="3F8B2DA1" w14:textId="77777777" w:rsidR="00765760" w:rsidRDefault="00765760"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E496"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639E19B8" w14:textId="77777777" w:rsidR="00F71F62" w:rsidRPr="00392DFD" w:rsidRDefault="00326441"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434D8FC5"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7346" w14:textId="77777777" w:rsidR="00765760" w:rsidRDefault="00765760" w:rsidP="00406D04">
      <w:pPr>
        <w:spacing w:after="0" w:line="240" w:lineRule="auto"/>
      </w:pPr>
      <w:r>
        <w:separator/>
      </w:r>
    </w:p>
  </w:footnote>
  <w:footnote w:type="continuationSeparator" w:id="0">
    <w:p w14:paraId="21C9FC01" w14:textId="77777777" w:rsidR="00765760" w:rsidRDefault="00765760"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85FA"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5BC983FD" w14:textId="20499985" w:rsidR="002344C1" w:rsidRPr="002344C1" w:rsidRDefault="005503FE"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3225B881" wp14:editId="4CF64F36">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6C23F5C4" wp14:editId="1EF21243">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5CD95547" w14:textId="6A0674D9" w:rsidR="00F71F62" w:rsidRDefault="00F71F62" w:rsidP="00F71F62">
    <w:pPr>
      <w:pStyle w:val="Encabezado"/>
      <w:tabs>
        <w:tab w:val="clear" w:pos="4252"/>
        <w:tab w:val="clear" w:pos="8504"/>
        <w:tab w:val="left" w:pos="1950"/>
      </w:tabs>
      <w:rPr>
        <w:sz w:val="14"/>
        <w:szCs w:val="14"/>
      </w:rPr>
    </w:pPr>
    <w:r w:rsidRPr="002306AF">
      <w:rPr>
        <w:sz w:val="14"/>
        <w:szCs w:val="14"/>
      </w:rPr>
      <w:t>V 1.</w:t>
    </w:r>
    <w:r w:rsidR="005B15C4">
      <w:rPr>
        <w:sz w:val="14"/>
        <w:szCs w:val="14"/>
      </w:rPr>
      <w:t>5</w:t>
    </w:r>
  </w:p>
  <w:p w14:paraId="18A972DE"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sz w:val="20"/>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5"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6"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8"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502162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662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366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271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356377">
    <w:abstractNumId w:val="2"/>
    <w:lvlOverride w:ilvl="0">
      <w:startOverride w:val="1"/>
    </w:lvlOverride>
    <w:lvlOverride w:ilvl="1"/>
    <w:lvlOverride w:ilvl="2"/>
    <w:lvlOverride w:ilvl="3"/>
    <w:lvlOverride w:ilvl="4"/>
    <w:lvlOverride w:ilvl="5"/>
    <w:lvlOverride w:ilvl="6"/>
    <w:lvlOverride w:ilvl="7"/>
    <w:lvlOverride w:ilvl="8"/>
  </w:num>
  <w:num w:numId="6" w16cid:durableId="1196889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3812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3796336">
    <w:abstractNumId w:val="2"/>
  </w:num>
  <w:num w:numId="9" w16cid:durableId="1737894157">
    <w:abstractNumId w:val="3"/>
  </w:num>
  <w:num w:numId="10" w16cid:durableId="95297165">
    <w:abstractNumId w:val="8"/>
  </w:num>
  <w:num w:numId="11" w16cid:durableId="1307198417">
    <w:abstractNumId w:val="0"/>
  </w:num>
  <w:num w:numId="12" w16cid:durableId="1725568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9qmYT7NhcH2DPcgAu7zm5LsQ2THY43XA4YEepZFCIUkTqIDYMRTfz+NjWqtU1PV/dVOQizyMsToASf3WghR8Fg==" w:salt="W5eq+nxhOpqmAWG6NtzDK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20477"/>
    <w:rsid w:val="000303D6"/>
    <w:rsid w:val="00055B30"/>
    <w:rsid w:val="00060679"/>
    <w:rsid w:val="000612BF"/>
    <w:rsid w:val="00070901"/>
    <w:rsid w:val="000963D4"/>
    <w:rsid w:val="000B48C0"/>
    <w:rsid w:val="000D3924"/>
    <w:rsid w:val="000D51F6"/>
    <w:rsid w:val="000D7F53"/>
    <w:rsid w:val="000F1601"/>
    <w:rsid w:val="000F7FD8"/>
    <w:rsid w:val="0010025F"/>
    <w:rsid w:val="00116711"/>
    <w:rsid w:val="00121504"/>
    <w:rsid w:val="00121B75"/>
    <w:rsid w:val="001434EC"/>
    <w:rsid w:val="0015552F"/>
    <w:rsid w:val="001708E5"/>
    <w:rsid w:val="001808BB"/>
    <w:rsid w:val="00184692"/>
    <w:rsid w:val="001B7C55"/>
    <w:rsid w:val="001C13A5"/>
    <w:rsid w:val="001D2493"/>
    <w:rsid w:val="001D4B2A"/>
    <w:rsid w:val="001E3807"/>
    <w:rsid w:val="001F47B2"/>
    <w:rsid w:val="001F5A28"/>
    <w:rsid w:val="00226F0C"/>
    <w:rsid w:val="00234422"/>
    <w:rsid w:val="002344C1"/>
    <w:rsid w:val="0024088A"/>
    <w:rsid w:val="00240B71"/>
    <w:rsid w:val="00253ACB"/>
    <w:rsid w:val="00261DEA"/>
    <w:rsid w:val="002656AE"/>
    <w:rsid w:val="002722AA"/>
    <w:rsid w:val="002A5052"/>
    <w:rsid w:val="002B2732"/>
    <w:rsid w:val="002D09A5"/>
    <w:rsid w:val="002E0ECD"/>
    <w:rsid w:val="002F218B"/>
    <w:rsid w:val="002F2F77"/>
    <w:rsid w:val="00326441"/>
    <w:rsid w:val="00372545"/>
    <w:rsid w:val="003855B0"/>
    <w:rsid w:val="003A0718"/>
    <w:rsid w:val="003B2D20"/>
    <w:rsid w:val="003C45F9"/>
    <w:rsid w:val="003F5E22"/>
    <w:rsid w:val="00403E04"/>
    <w:rsid w:val="00406D04"/>
    <w:rsid w:val="0041498C"/>
    <w:rsid w:val="0043137D"/>
    <w:rsid w:val="00435917"/>
    <w:rsid w:val="0043739F"/>
    <w:rsid w:val="004426EE"/>
    <w:rsid w:val="00471818"/>
    <w:rsid w:val="00471891"/>
    <w:rsid w:val="00484D90"/>
    <w:rsid w:val="0048778B"/>
    <w:rsid w:val="00492371"/>
    <w:rsid w:val="004A64F7"/>
    <w:rsid w:val="004A7B76"/>
    <w:rsid w:val="004C0B77"/>
    <w:rsid w:val="004D536D"/>
    <w:rsid w:val="004D634C"/>
    <w:rsid w:val="004E0DA6"/>
    <w:rsid w:val="0051336B"/>
    <w:rsid w:val="00540000"/>
    <w:rsid w:val="0054583B"/>
    <w:rsid w:val="005503FE"/>
    <w:rsid w:val="005527DC"/>
    <w:rsid w:val="005534BA"/>
    <w:rsid w:val="005707C9"/>
    <w:rsid w:val="0058471D"/>
    <w:rsid w:val="005907E7"/>
    <w:rsid w:val="005A1139"/>
    <w:rsid w:val="005B15C4"/>
    <w:rsid w:val="005C2509"/>
    <w:rsid w:val="005E4879"/>
    <w:rsid w:val="006267D9"/>
    <w:rsid w:val="006317D3"/>
    <w:rsid w:val="00672D2C"/>
    <w:rsid w:val="00674EE1"/>
    <w:rsid w:val="00676140"/>
    <w:rsid w:val="00685BD1"/>
    <w:rsid w:val="006B23D9"/>
    <w:rsid w:val="006D4860"/>
    <w:rsid w:val="006E0ECB"/>
    <w:rsid w:val="006E28AB"/>
    <w:rsid w:val="00700E3A"/>
    <w:rsid w:val="00702D96"/>
    <w:rsid w:val="00705D48"/>
    <w:rsid w:val="00706A6E"/>
    <w:rsid w:val="00712AAF"/>
    <w:rsid w:val="00727248"/>
    <w:rsid w:val="007347F6"/>
    <w:rsid w:val="007358F3"/>
    <w:rsid w:val="00755150"/>
    <w:rsid w:val="00765760"/>
    <w:rsid w:val="007869A0"/>
    <w:rsid w:val="007A58E6"/>
    <w:rsid w:val="007C6BD8"/>
    <w:rsid w:val="007D0B92"/>
    <w:rsid w:val="007E5735"/>
    <w:rsid w:val="007F540D"/>
    <w:rsid w:val="008019DD"/>
    <w:rsid w:val="00810841"/>
    <w:rsid w:val="00816BF3"/>
    <w:rsid w:val="00817F1A"/>
    <w:rsid w:val="0082280E"/>
    <w:rsid w:val="00840BBE"/>
    <w:rsid w:val="008419CD"/>
    <w:rsid w:val="0084655B"/>
    <w:rsid w:val="008539F0"/>
    <w:rsid w:val="0085761C"/>
    <w:rsid w:val="00872BB9"/>
    <w:rsid w:val="00873AC6"/>
    <w:rsid w:val="00882ACB"/>
    <w:rsid w:val="00885FF7"/>
    <w:rsid w:val="008A26A6"/>
    <w:rsid w:val="008F76AE"/>
    <w:rsid w:val="00903CB1"/>
    <w:rsid w:val="0094359B"/>
    <w:rsid w:val="0094406A"/>
    <w:rsid w:val="00952EDD"/>
    <w:rsid w:val="00953184"/>
    <w:rsid w:val="009619BD"/>
    <w:rsid w:val="00993F77"/>
    <w:rsid w:val="009A6B90"/>
    <w:rsid w:val="009B4004"/>
    <w:rsid w:val="009C38C0"/>
    <w:rsid w:val="009D3B3A"/>
    <w:rsid w:val="009F1446"/>
    <w:rsid w:val="009F5B31"/>
    <w:rsid w:val="00A221C7"/>
    <w:rsid w:val="00A34CC1"/>
    <w:rsid w:val="00A34EAE"/>
    <w:rsid w:val="00A35711"/>
    <w:rsid w:val="00A40F1B"/>
    <w:rsid w:val="00A410EA"/>
    <w:rsid w:val="00A43B1E"/>
    <w:rsid w:val="00A511A0"/>
    <w:rsid w:val="00A7404A"/>
    <w:rsid w:val="00A81B4D"/>
    <w:rsid w:val="00A83ACE"/>
    <w:rsid w:val="00A95089"/>
    <w:rsid w:val="00AA020E"/>
    <w:rsid w:val="00AA395C"/>
    <w:rsid w:val="00AA40B4"/>
    <w:rsid w:val="00AB0DB2"/>
    <w:rsid w:val="00AB3A2F"/>
    <w:rsid w:val="00AD186C"/>
    <w:rsid w:val="00AD3716"/>
    <w:rsid w:val="00AF0819"/>
    <w:rsid w:val="00AF783F"/>
    <w:rsid w:val="00B10177"/>
    <w:rsid w:val="00B10A82"/>
    <w:rsid w:val="00B2233A"/>
    <w:rsid w:val="00B270EA"/>
    <w:rsid w:val="00B376F7"/>
    <w:rsid w:val="00B42244"/>
    <w:rsid w:val="00B540AB"/>
    <w:rsid w:val="00B54D60"/>
    <w:rsid w:val="00B63B77"/>
    <w:rsid w:val="00B6712D"/>
    <w:rsid w:val="00B76726"/>
    <w:rsid w:val="00B819FD"/>
    <w:rsid w:val="00B95B16"/>
    <w:rsid w:val="00B97FC7"/>
    <w:rsid w:val="00BA3E2B"/>
    <w:rsid w:val="00BB29EA"/>
    <w:rsid w:val="00BB70AC"/>
    <w:rsid w:val="00BF7223"/>
    <w:rsid w:val="00C05CCA"/>
    <w:rsid w:val="00C11314"/>
    <w:rsid w:val="00C15202"/>
    <w:rsid w:val="00C23278"/>
    <w:rsid w:val="00C25620"/>
    <w:rsid w:val="00C27E07"/>
    <w:rsid w:val="00C41F72"/>
    <w:rsid w:val="00C47A9C"/>
    <w:rsid w:val="00C5102B"/>
    <w:rsid w:val="00C60DC7"/>
    <w:rsid w:val="00C906D0"/>
    <w:rsid w:val="00C907DE"/>
    <w:rsid w:val="00C95C30"/>
    <w:rsid w:val="00C97522"/>
    <w:rsid w:val="00CA0DCE"/>
    <w:rsid w:val="00CA5E12"/>
    <w:rsid w:val="00CC0015"/>
    <w:rsid w:val="00CC4A9D"/>
    <w:rsid w:val="00D10A68"/>
    <w:rsid w:val="00D112F7"/>
    <w:rsid w:val="00D27064"/>
    <w:rsid w:val="00D412D9"/>
    <w:rsid w:val="00D429E2"/>
    <w:rsid w:val="00D53091"/>
    <w:rsid w:val="00D64023"/>
    <w:rsid w:val="00D64E42"/>
    <w:rsid w:val="00D9789A"/>
    <w:rsid w:val="00DC4BE9"/>
    <w:rsid w:val="00DD7F8C"/>
    <w:rsid w:val="00E0097E"/>
    <w:rsid w:val="00E07D8B"/>
    <w:rsid w:val="00E12154"/>
    <w:rsid w:val="00E32ED9"/>
    <w:rsid w:val="00E36E84"/>
    <w:rsid w:val="00E51B03"/>
    <w:rsid w:val="00E626C0"/>
    <w:rsid w:val="00E65326"/>
    <w:rsid w:val="00E83239"/>
    <w:rsid w:val="00E957B8"/>
    <w:rsid w:val="00EA26B7"/>
    <w:rsid w:val="00EA3C6F"/>
    <w:rsid w:val="00EA675F"/>
    <w:rsid w:val="00EB52AF"/>
    <w:rsid w:val="00EC0D1F"/>
    <w:rsid w:val="00ED44E5"/>
    <w:rsid w:val="00ED516C"/>
    <w:rsid w:val="00F45E18"/>
    <w:rsid w:val="00F47999"/>
    <w:rsid w:val="00F62A5F"/>
    <w:rsid w:val="00F71F62"/>
    <w:rsid w:val="00FA6125"/>
    <w:rsid w:val="00FC1C94"/>
    <w:rsid w:val="00FD3510"/>
    <w:rsid w:val="00FD35D9"/>
    <w:rsid w:val="00FE2383"/>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BD79"/>
  <w15:chartTrackingRefBased/>
  <w15:docId w15:val="{017BC479-C8D3-4813-9987-065589C5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2570">
      <w:bodyDiv w:val="1"/>
      <w:marLeft w:val="0"/>
      <w:marRight w:val="0"/>
      <w:marTop w:val="0"/>
      <w:marBottom w:val="0"/>
      <w:divBdr>
        <w:top w:val="none" w:sz="0" w:space="0" w:color="auto"/>
        <w:left w:val="none" w:sz="0" w:space="0" w:color="auto"/>
        <w:bottom w:val="none" w:sz="0" w:space="0" w:color="auto"/>
        <w:right w:val="none" w:sz="0" w:space="0" w:color="auto"/>
      </w:divBdr>
    </w:div>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gr.lapampa.gob.ar/tasas-retributivas-de-servicios-nueva-version-imprimible/contaduria-general-de-la-provinc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2782</Words>
  <Characters>15307</Characters>
  <Application>Microsoft Office Word</Application>
  <DocSecurity>8</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18053</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10</cp:revision>
  <cp:lastPrinted>2023-05-12T12:43:00Z</cp:lastPrinted>
  <dcterms:created xsi:type="dcterms:W3CDTF">2023-08-11T15:58:00Z</dcterms:created>
  <dcterms:modified xsi:type="dcterms:W3CDTF">2024-03-06T14:54:00Z</dcterms:modified>
</cp:coreProperties>
</file>